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B6DBA" w14:textId="77777777" w:rsidR="00EA6409" w:rsidRDefault="00EA6409" w:rsidP="00E10543">
      <w:pPr>
        <w:spacing w:line="276" w:lineRule="auto"/>
        <w:ind w:left="426"/>
        <w:rPr>
          <w:rFonts w:ascii="Century Gothic" w:hAnsi="Century Gothic" w:cstheme="minorHAnsi"/>
          <w:sz w:val="20"/>
          <w:szCs w:val="20"/>
        </w:rPr>
      </w:pPr>
    </w:p>
    <w:p w14:paraId="1BCB86D1" w14:textId="77777777" w:rsidR="00EA6409" w:rsidRDefault="00EA6409" w:rsidP="00E10543">
      <w:pPr>
        <w:spacing w:line="276" w:lineRule="auto"/>
        <w:ind w:left="426"/>
        <w:rPr>
          <w:rFonts w:ascii="Century Gothic" w:hAnsi="Century Gothic" w:cstheme="minorHAnsi"/>
          <w:sz w:val="20"/>
          <w:szCs w:val="20"/>
        </w:rPr>
      </w:pPr>
    </w:p>
    <w:p w14:paraId="083D83BC" w14:textId="731C3288" w:rsidR="00FE292B" w:rsidRPr="00E10543" w:rsidRDefault="00FE292B" w:rsidP="00E10543">
      <w:pPr>
        <w:spacing w:line="276" w:lineRule="auto"/>
        <w:ind w:left="426"/>
        <w:rPr>
          <w:rFonts w:ascii="Century Gothic" w:hAnsi="Century Gothic" w:cstheme="minorHAnsi"/>
          <w:sz w:val="20"/>
          <w:szCs w:val="20"/>
        </w:rPr>
      </w:pPr>
      <w:r w:rsidRPr="00E10543">
        <w:rPr>
          <w:rFonts w:ascii="Century Gothic" w:hAnsi="Century Gothic" w:cstheme="minorHAnsi"/>
          <w:sz w:val="20"/>
          <w:szCs w:val="20"/>
        </w:rPr>
        <w:t>Bogotá D.C.</w:t>
      </w:r>
      <w:r w:rsidR="00901FF1" w:rsidRPr="00E10543">
        <w:rPr>
          <w:rFonts w:ascii="Century Gothic" w:hAnsi="Century Gothic" w:cstheme="minorHAnsi"/>
          <w:sz w:val="20"/>
          <w:szCs w:val="20"/>
        </w:rPr>
        <w:t xml:space="preserve">, </w:t>
      </w:r>
      <w:r w:rsidR="00901FF1">
        <w:rPr>
          <w:rFonts w:ascii="Century Gothic" w:hAnsi="Century Gothic" w:cstheme="minorHAnsi"/>
          <w:sz w:val="20"/>
          <w:szCs w:val="20"/>
        </w:rPr>
        <w:t xml:space="preserve">6 septiembre </w:t>
      </w:r>
      <w:r w:rsidR="00901FF1" w:rsidRPr="00E10543">
        <w:rPr>
          <w:rFonts w:ascii="Century Gothic" w:hAnsi="Century Gothic" w:cstheme="minorHAnsi"/>
          <w:sz w:val="20"/>
          <w:szCs w:val="20"/>
        </w:rPr>
        <w:t>de</w:t>
      </w:r>
      <w:r w:rsidRPr="00E10543">
        <w:rPr>
          <w:rFonts w:ascii="Century Gothic" w:hAnsi="Century Gothic" w:cstheme="minorHAnsi"/>
          <w:sz w:val="20"/>
          <w:szCs w:val="20"/>
        </w:rPr>
        <w:t xml:space="preserve"> 202</w:t>
      </w:r>
      <w:r w:rsidR="00286CA8" w:rsidRPr="00E10543">
        <w:rPr>
          <w:rFonts w:ascii="Century Gothic" w:hAnsi="Century Gothic" w:cstheme="minorHAnsi"/>
          <w:sz w:val="20"/>
          <w:szCs w:val="20"/>
        </w:rPr>
        <w:t>3</w:t>
      </w:r>
    </w:p>
    <w:p w14:paraId="22A292E3" w14:textId="6378C9DA" w:rsidR="00FE292B" w:rsidRPr="00E10543" w:rsidRDefault="00FE292B" w:rsidP="00E10543">
      <w:pPr>
        <w:spacing w:line="276" w:lineRule="auto"/>
        <w:ind w:left="426"/>
        <w:rPr>
          <w:rFonts w:ascii="Century Gothic" w:hAnsi="Century Gothic" w:cstheme="minorHAnsi"/>
          <w:sz w:val="20"/>
          <w:szCs w:val="20"/>
        </w:rPr>
      </w:pPr>
    </w:p>
    <w:p w14:paraId="2BE4ADB4" w14:textId="77777777" w:rsidR="00FE292B" w:rsidRPr="00E10543" w:rsidRDefault="00FE292B" w:rsidP="00E10543">
      <w:pPr>
        <w:spacing w:line="276" w:lineRule="auto"/>
        <w:ind w:left="426"/>
        <w:rPr>
          <w:rFonts w:ascii="Century Gothic" w:hAnsi="Century Gothic" w:cstheme="minorHAnsi"/>
          <w:sz w:val="20"/>
          <w:szCs w:val="20"/>
        </w:rPr>
      </w:pPr>
    </w:p>
    <w:p w14:paraId="4E1200A3" w14:textId="3DFC6177" w:rsidR="00756FAE" w:rsidRPr="00E10543" w:rsidRDefault="005A4FEA" w:rsidP="00E10543">
      <w:pPr>
        <w:spacing w:line="276" w:lineRule="auto"/>
        <w:ind w:left="426" w:right="49"/>
        <w:jc w:val="center"/>
        <w:rPr>
          <w:rFonts w:ascii="Century Gothic" w:hAnsi="Century Gothic" w:cstheme="minorHAnsi"/>
          <w:b/>
          <w:sz w:val="20"/>
          <w:szCs w:val="20"/>
        </w:rPr>
      </w:pPr>
      <w:r w:rsidRPr="00E10543">
        <w:rPr>
          <w:rFonts w:ascii="Century Gothic" w:hAnsi="Century Gothic" w:cstheme="minorHAnsi"/>
          <w:b/>
          <w:sz w:val="20"/>
          <w:szCs w:val="20"/>
        </w:rPr>
        <w:t xml:space="preserve">INFORME DE PONENCIA PARA </w:t>
      </w:r>
      <w:r w:rsidR="00154B97" w:rsidRPr="00E10543">
        <w:rPr>
          <w:rFonts w:ascii="Century Gothic" w:hAnsi="Century Gothic" w:cstheme="minorHAnsi"/>
          <w:b/>
          <w:sz w:val="20"/>
          <w:szCs w:val="20"/>
        </w:rPr>
        <w:t>PRIMER</w:t>
      </w:r>
      <w:r w:rsidRPr="00E10543">
        <w:rPr>
          <w:rFonts w:ascii="Century Gothic" w:hAnsi="Century Gothic" w:cstheme="minorHAnsi"/>
          <w:b/>
          <w:sz w:val="20"/>
          <w:szCs w:val="20"/>
        </w:rPr>
        <w:t xml:space="preserve"> DEBATE AL PROYECTO DE LEY</w:t>
      </w:r>
      <w:r w:rsidR="00517119" w:rsidRPr="00E10543">
        <w:rPr>
          <w:rFonts w:ascii="Century Gothic" w:hAnsi="Century Gothic" w:cstheme="minorHAnsi"/>
          <w:b/>
          <w:sz w:val="20"/>
          <w:szCs w:val="20"/>
        </w:rPr>
        <w:t xml:space="preserve"> </w:t>
      </w:r>
      <w:r w:rsidRPr="00E10543">
        <w:rPr>
          <w:rFonts w:ascii="Century Gothic" w:hAnsi="Century Gothic" w:cstheme="minorHAnsi"/>
          <w:b/>
          <w:sz w:val="20"/>
          <w:szCs w:val="20"/>
        </w:rPr>
        <w:t>NÚMERO 0</w:t>
      </w:r>
      <w:r w:rsidR="00154B97" w:rsidRPr="00E10543">
        <w:rPr>
          <w:rFonts w:ascii="Century Gothic" w:hAnsi="Century Gothic" w:cstheme="minorHAnsi"/>
          <w:b/>
          <w:sz w:val="20"/>
          <w:szCs w:val="20"/>
        </w:rPr>
        <w:t>52 DE 2023</w:t>
      </w:r>
      <w:r w:rsidRPr="00E10543">
        <w:rPr>
          <w:rFonts w:ascii="Century Gothic" w:hAnsi="Century Gothic" w:cstheme="minorHAnsi"/>
          <w:b/>
          <w:sz w:val="20"/>
          <w:szCs w:val="20"/>
        </w:rPr>
        <w:t xml:space="preserve"> CÁMARA </w:t>
      </w:r>
      <w:r w:rsidR="005A6B1D">
        <w:rPr>
          <w:rFonts w:ascii="Century Gothic" w:hAnsi="Century Gothic" w:cstheme="minorHAnsi"/>
          <w:b/>
          <w:sz w:val="20"/>
          <w:szCs w:val="20"/>
        </w:rPr>
        <w:br/>
      </w:r>
      <w:r w:rsidR="00154B97" w:rsidRPr="00E10543">
        <w:rPr>
          <w:rFonts w:ascii="Century Gothic" w:hAnsi="Century Gothic" w:cstheme="minorHAnsi"/>
          <w:i/>
          <w:iCs/>
          <w:sz w:val="20"/>
          <w:szCs w:val="20"/>
        </w:rPr>
        <w:t>“Por medio del cual se incorpora en el Ordenamiento Jurídico Colombiano la violencia vicaria, se modifica la Ley 1257 de 2008 y la Ley 2126 de 2021 y se dictan otras disposiciones</w:t>
      </w:r>
      <w:r w:rsidRPr="00E10543">
        <w:rPr>
          <w:rFonts w:ascii="Century Gothic" w:hAnsi="Century Gothic" w:cstheme="minorHAnsi"/>
          <w:sz w:val="20"/>
          <w:szCs w:val="20"/>
        </w:rPr>
        <w:t>”.</w:t>
      </w:r>
    </w:p>
    <w:p w14:paraId="23AF5CB6" w14:textId="77777777" w:rsidR="00756FAE" w:rsidRPr="00E10543" w:rsidRDefault="00756FAE" w:rsidP="00E10543">
      <w:pPr>
        <w:spacing w:line="276" w:lineRule="auto"/>
        <w:ind w:left="426"/>
        <w:rPr>
          <w:rFonts w:ascii="Century Gothic" w:eastAsia="Bookman Old Style" w:hAnsi="Century Gothic" w:cs="Bookman Old Style"/>
          <w:color w:val="000000"/>
          <w:sz w:val="20"/>
          <w:szCs w:val="20"/>
        </w:rPr>
      </w:pPr>
    </w:p>
    <w:p w14:paraId="5C823530" w14:textId="77777777" w:rsidR="00BF6C16" w:rsidRPr="00E10543" w:rsidRDefault="00BF6C16" w:rsidP="00E10543">
      <w:pPr>
        <w:spacing w:line="276" w:lineRule="auto"/>
        <w:ind w:left="426"/>
        <w:rPr>
          <w:rFonts w:ascii="Century Gothic" w:eastAsia="Bookman Old Style" w:hAnsi="Century Gothic" w:cs="Bookman Old Style"/>
          <w:color w:val="000000"/>
          <w:sz w:val="20"/>
          <w:szCs w:val="20"/>
        </w:rPr>
      </w:pPr>
    </w:p>
    <w:p w14:paraId="4D49EE6B" w14:textId="77777777" w:rsidR="005A4FEA" w:rsidRPr="00E10543" w:rsidRDefault="005A4FEA" w:rsidP="00E10543">
      <w:pPr>
        <w:spacing w:line="276" w:lineRule="auto"/>
        <w:ind w:left="426"/>
        <w:rPr>
          <w:rFonts w:ascii="Century Gothic" w:hAnsi="Century Gothic" w:cstheme="minorHAnsi"/>
          <w:sz w:val="20"/>
          <w:szCs w:val="20"/>
        </w:rPr>
      </w:pPr>
      <w:r w:rsidRPr="00E10543">
        <w:rPr>
          <w:rFonts w:ascii="Century Gothic" w:hAnsi="Century Gothic" w:cstheme="minorHAnsi"/>
          <w:sz w:val="20"/>
          <w:szCs w:val="20"/>
        </w:rPr>
        <w:t>Honorable Representante</w:t>
      </w:r>
    </w:p>
    <w:p w14:paraId="284C5C29" w14:textId="2E0DB8C6" w:rsidR="005A4FEA" w:rsidRPr="00E10543" w:rsidRDefault="005D0D55" w:rsidP="00E10543">
      <w:pPr>
        <w:spacing w:line="276" w:lineRule="auto"/>
        <w:ind w:left="426"/>
        <w:rPr>
          <w:rFonts w:ascii="Century Gothic" w:hAnsi="Century Gothic" w:cstheme="minorHAnsi"/>
          <w:b/>
          <w:bCs/>
          <w:sz w:val="20"/>
          <w:szCs w:val="20"/>
        </w:rPr>
      </w:pPr>
      <w:r w:rsidRPr="00E10543">
        <w:rPr>
          <w:rFonts w:ascii="Century Gothic" w:hAnsi="Century Gothic" w:cstheme="minorHAnsi"/>
          <w:b/>
          <w:bCs/>
          <w:sz w:val="20"/>
          <w:szCs w:val="20"/>
        </w:rPr>
        <w:t xml:space="preserve">OSCAR HERNÁN SÁNCHEZ LEÓN </w:t>
      </w:r>
    </w:p>
    <w:p w14:paraId="65B598BE" w14:textId="539E4FC8" w:rsidR="005A4FEA" w:rsidRPr="00E10543" w:rsidRDefault="005A4FEA" w:rsidP="00E10543">
      <w:pPr>
        <w:spacing w:line="276" w:lineRule="auto"/>
        <w:ind w:left="426"/>
        <w:rPr>
          <w:rFonts w:ascii="Century Gothic" w:hAnsi="Century Gothic" w:cstheme="minorHAnsi"/>
          <w:bCs/>
          <w:sz w:val="20"/>
          <w:szCs w:val="20"/>
        </w:rPr>
      </w:pPr>
      <w:r w:rsidRPr="00E10543">
        <w:rPr>
          <w:rFonts w:ascii="Century Gothic" w:hAnsi="Century Gothic" w:cstheme="minorHAnsi"/>
          <w:sz w:val="20"/>
          <w:szCs w:val="20"/>
        </w:rPr>
        <w:t>Presidente</w:t>
      </w:r>
      <w:r w:rsidR="009F4ADA" w:rsidRPr="00E10543">
        <w:rPr>
          <w:rFonts w:ascii="Century Gothic" w:hAnsi="Century Gothic" w:cstheme="minorHAnsi"/>
          <w:sz w:val="20"/>
          <w:szCs w:val="20"/>
        </w:rPr>
        <w:t xml:space="preserve"> </w:t>
      </w:r>
      <w:r w:rsidRPr="00E10543">
        <w:rPr>
          <w:rFonts w:ascii="Century Gothic" w:hAnsi="Century Gothic" w:cstheme="minorHAnsi"/>
          <w:bCs/>
          <w:sz w:val="20"/>
          <w:szCs w:val="20"/>
        </w:rPr>
        <w:t>Comisión Primera Constitucional</w:t>
      </w:r>
    </w:p>
    <w:p w14:paraId="02B1907C" w14:textId="77777777" w:rsidR="005A4FEA" w:rsidRPr="00E10543" w:rsidRDefault="005A4FEA" w:rsidP="00E10543">
      <w:pPr>
        <w:spacing w:line="276" w:lineRule="auto"/>
        <w:ind w:left="426"/>
        <w:rPr>
          <w:rFonts w:ascii="Century Gothic" w:hAnsi="Century Gothic" w:cstheme="minorHAnsi"/>
          <w:sz w:val="20"/>
          <w:szCs w:val="20"/>
        </w:rPr>
      </w:pPr>
      <w:r w:rsidRPr="00E10543">
        <w:rPr>
          <w:rFonts w:ascii="Century Gothic" w:hAnsi="Century Gothic" w:cstheme="minorHAnsi"/>
          <w:sz w:val="20"/>
          <w:szCs w:val="20"/>
        </w:rPr>
        <w:t>Cámara de Representantes</w:t>
      </w:r>
    </w:p>
    <w:p w14:paraId="7100A841" w14:textId="77777777" w:rsidR="005A4FEA" w:rsidRPr="00E10543" w:rsidRDefault="005A4FEA" w:rsidP="00E10543">
      <w:pPr>
        <w:spacing w:line="276" w:lineRule="auto"/>
        <w:ind w:left="426"/>
        <w:rPr>
          <w:rFonts w:ascii="Century Gothic" w:hAnsi="Century Gothic" w:cstheme="minorHAnsi"/>
          <w:sz w:val="20"/>
          <w:szCs w:val="20"/>
        </w:rPr>
      </w:pPr>
      <w:r w:rsidRPr="00E10543">
        <w:rPr>
          <w:rFonts w:ascii="Century Gothic" w:hAnsi="Century Gothic" w:cstheme="minorHAnsi"/>
          <w:sz w:val="20"/>
          <w:szCs w:val="20"/>
        </w:rPr>
        <w:t>Ciudad.</w:t>
      </w:r>
    </w:p>
    <w:p w14:paraId="4143C332" w14:textId="77777777" w:rsidR="005A4FEA" w:rsidRPr="00E10543" w:rsidRDefault="005A4FEA" w:rsidP="00E10543">
      <w:pPr>
        <w:spacing w:line="276" w:lineRule="auto"/>
        <w:ind w:left="426"/>
        <w:rPr>
          <w:rFonts w:ascii="Century Gothic" w:hAnsi="Century Gothic" w:cstheme="minorHAnsi"/>
          <w:b/>
          <w:sz w:val="20"/>
          <w:szCs w:val="20"/>
        </w:rPr>
      </w:pPr>
    </w:p>
    <w:p w14:paraId="38DA08F7" w14:textId="489847DD" w:rsidR="005A4FEA" w:rsidRPr="00E10543" w:rsidRDefault="005A4FEA" w:rsidP="00E10543">
      <w:pPr>
        <w:pStyle w:val="NormalWeb"/>
        <w:shd w:val="clear" w:color="auto" w:fill="FFFFFF"/>
        <w:spacing w:before="0" w:beforeAutospacing="0" w:after="0" w:afterAutospacing="0" w:line="276" w:lineRule="auto"/>
        <w:ind w:left="426"/>
        <w:jc w:val="both"/>
        <w:rPr>
          <w:rFonts w:ascii="Century Gothic" w:hAnsi="Century Gothic" w:cs="Arial"/>
          <w:bCs/>
          <w:sz w:val="20"/>
          <w:szCs w:val="20"/>
        </w:rPr>
      </w:pPr>
      <w:r w:rsidRPr="00E10543">
        <w:rPr>
          <w:rFonts w:ascii="Century Gothic" w:hAnsi="Century Gothic" w:cs="Arial"/>
          <w:b/>
          <w:bCs/>
          <w:sz w:val="20"/>
          <w:szCs w:val="20"/>
          <w:lang w:val="es-ES_tradnl"/>
        </w:rPr>
        <w:t>Referencia:</w:t>
      </w:r>
      <w:r w:rsidR="00FE292B" w:rsidRPr="00E10543">
        <w:rPr>
          <w:rFonts w:ascii="Century Gothic" w:hAnsi="Century Gothic" w:cs="Arial"/>
          <w:b/>
          <w:bCs/>
          <w:sz w:val="20"/>
          <w:szCs w:val="20"/>
          <w:lang w:val="es-ES_tradnl"/>
        </w:rPr>
        <w:t xml:space="preserve"> </w:t>
      </w:r>
      <w:r w:rsidRPr="00E10543">
        <w:rPr>
          <w:rFonts w:ascii="Century Gothic" w:hAnsi="Century Gothic" w:cs="Arial"/>
          <w:b/>
          <w:bCs/>
          <w:sz w:val="20"/>
          <w:szCs w:val="20"/>
          <w:lang w:val="es-ES_tradnl"/>
        </w:rPr>
        <w:t xml:space="preserve">Informe de Ponencia para </w:t>
      </w:r>
      <w:r w:rsidR="00154B97" w:rsidRPr="00E10543">
        <w:rPr>
          <w:rFonts w:ascii="Century Gothic" w:hAnsi="Century Gothic" w:cs="Arial"/>
          <w:b/>
          <w:bCs/>
          <w:sz w:val="20"/>
          <w:szCs w:val="20"/>
          <w:lang w:val="es-ES_tradnl"/>
        </w:rPr>
        <w:t>primer</w:t>
      </w:r>
      <w:r w:rsidRPr="00E10543">
        <w:rPr>
          <w:rFonts w:ascii="Century Gothic" w:hAnsi="Century Gothic" w:cs="Arial"/>
          <w:b/>
          <w:bCs/>
          <w:sz w:val="20"/>
          <w:szCs w:val="20"/>
          <w:lang w:val="es-ES_tradnl"/>
        </w:rPr>
        <w:t xml:space="preserve"> debate al Proyecto de </w:t>
      </w:r>
      <w:r w:rsidR="00154B97" w:rsidRPr="00E10543">
        <w:rPr>
          <w:rFonts w:ascii="Century Gothic" w:hAnsi="Century Gothic" w:cs="Arial"/>
          <w:b/>
          <w:bCs/>
          <w:sz w:val="20"/>
          <w:szCs w:val="20"/>
          <w:lang w:val="es-ES_tradnl"/>
        </w:rPr>
        <w:t>Ley número</w:t>
      </w:r>
      <w:r w:rsidRPr="00E10543">
        <w:rPr>
          <w:rFonts w:ascii="Century Gothic" w:hAnsi="Century Gothic" w:cs="Arial"/>
          <w:b/>
          <w:bCs/>
          <w:sz w:val="20"/>
          <w:szCs w:val="20"/>
          <w:lang w:val="es-ES_tradnl"/>
        </w:rPr>
        <w:t xml:space="preserve"> 0</w:t>
      </w:r>
      <w:r w:rsidR="00617912" w:rsidRPr="00E10543">
        <w:rPr>
          <w:rFonts w:ascii="Century Gothic" w:hAnsi="Century Gothic" w:cs="Arial"/>
          <w:b/>
          <w:bCs/>
          <w:sz w:val="20"/>
          <w:szCs w:val="20"/>
          <w:lang w:val="es-ES_tradnl"/>
        </w:rPr>
        <w:t>5</w:t>
      </w:r>
      <w:r w:rsidR="00154B97" w:rsidRPr="00E10543">
        <w:rPr>
          <w:rFonts w:ascii="Century Gothic" w:hAnsi="Century Gothic" w:cs="Arial"/>
          <w:b/>
          <w:bCs/>
          <w:sz w:val="20"/>
          <w:szCs w:val="20"/>
          <w:lang w:val="es-ES_tradnl"/>
        </w:rPr>
        <w:t>2</w:t>
      </w:r>
      <w:r w:rsidRPr="00E10543">
        <w:rPr>
          <w:rFonts w:ascii="Century Gothic" w:hAnsi="Century Gothic" w:cs="Arial"/>
          <w:b/>
          <w:bCs/>
          <w:sz w:val="20"/>
          <w:szCs w:val="20"/>
          <w:lang w:val="es-ES_tradnl"/>
        </w:rPr>
        <w:t xml:space="preserve"> de 202</w:t>
      </w:r>
      <w:r w:rsidR="00154B97" w:rsidRPr="00E10543">
        <w:rPr>
          <w:rFonts w:ascii="Century Gothic" w:hAnsi="Century Gothic" w:cs="Arial"/>
          <w:b/>
          <w:bCs/>
          <w:sz w:val="20"/>
          <w:szCs w:val="20"/>
          <w:lang w:val="es-ES_tradnl"/>
        </w:rPr>
        <w:t>3</w:t>
      </w:r>
      <w:r w:rsidRPr="00E10543">
        <w:rPr>
          <w:rFonts w:ascii="Century Gothic" w:hAnsi="Century Gothic" w:cs="Arial"/>
          <w:b/>
          <w:bCs/>
          <w:sz w:val="20"/>
          <w:szCs w:val="20"/>
          <w:lang w:val="es-ES_tradnl"/>
        </w:rPr>
        <w:t xml:space="preserve"> Cámara.</w:t>
      </w:r>
    </w:p>
    <w:p w14:paraId="1F96CFE9" w14:textId="77777777" w:rsidR="005A4FEA" w:rsidRPr="00E10543" w:rsidRDefault="005A4FEA" w:rsidP="00E10543">
      <w:pPr>
        <w:spacing w:line="276" w:lineRule="auto"/>
        <w:ind w:left="426"/>
        <w:jc w:val="right"/>
        <w:rPr>
          <w:rFonts w:ascii="Century Gothic" w:hAnsi="Century Gothic" w:cstheme="minorHAnsi"/>
          <w:b/>
          <w:sz w:val="20"/>
          <w:szCs w:val="20"/>
        </w:rPr>
      </w:pPr>
    </w:p>
    <w:p w14:paraId="77B2F1DC" w14:textId="77777777" w:rsidR="005A4FEA" w:rsidRPr="00E10543" w:rsidRDefault="005A4FEA" w:rsidP="00E10543">
      <w:pPr>
        <w:spacing w:line="276" w:lineRule="auto"/>
        <w:ind w:left="426"/>
        <w:rPr>
          <w:rFonts w:ascii="Century Gothic" w:hAnsi="Century Gothic" w:cstheme="minorHAnsi"/>
          <w:b/>
          <w:sz w:val="20"/>
          <w:szCs w:val="20"/>
        </w:rPr>
      </w:pPr>
    </w:p>
    <w:p w14:paraId="26F58B6C" w14:textId="77777777" w:rsidR="005A4FEA" w:rsidRPr="00E10543" w:rsidRDefault="005A4FEA" w:rsidP="00E10543">
      <w:pPr>
        <w:spacing w:line="276" w:lineRule="auto"/>
        <w:ind w:left="426"/>
        <w:jc w:val="both"/>
        <w:rPr>
          <w:rFonts w:ascii="Century Gothic" w:hAnsi="Century Gothic" w:cstheme="minorHAnsi"/>
          <w:sz w:val="20"/>
          <w:szCs w:val="20"/>
        </w:rPr>
      </w:pPr>
      <w:r w:rsidRPr="00E10543">
        <w:rPr>
          <w:rFonts w:ascii="Century Gothic" w:hAnsi="Century Gothic" w:cstheme="minorHAnsi"/>
          <w:sz w:val="20"/>
          <w:szCs w:val="20"/>
        </w:rPr>
        <w:t>Honorables Representantes:</w:t>
      </w:r>
    </w:p>
    <w:p w14:paraId="34F26382" w14:textId="77777777" w:rsidR="005A4FEA" w:rsidRPr="00E10543" w:rsidRDefault="005A4FEA" w:rsidP="00E10543">
      <w:pPr>
        <w:spacing w:line="276" w:lineRule="auto"/>
        <w:ind w:left="426"/>
        <w:jc w:val="both"/>
        <w:rPr>
          <w:rFonts w:ascii="Century Gothic" w:hAnsi="Century Gothic" w:cstheme="minorHAnsi"/>
          <w:sz w:val="20"/>
          <w:szCs w:val="20"/>
        </w:rPr>
      </w:pPr>
    </w:p>
    <w:p w14:paraId="4FEB7987" w14:textId="1E34F0CB" w:rsidR="00756FAE" w:rsidRPr="00E10543" w:rsidRDefault="005A4FEA" w:rsidP="00E10543">
      <w:pPr>
        <w:pStyle w:val="NormalWeb"/>
        <w:shd w:val="clear" w:color="auto" w:fill="FFFFFF"/>
        <w:spacing w:before="0" w:beforeAutospacing="0" w:after="0" w:afterAutospacing="0" w:line="276" w:lineRule="auto"/>
        <w:ind w:left="426"/>
        <w:jc w:val="both"/>
        <w:rPr>
          <w:rFonts w:ascii="Century Gothic" w:hAnsi="Century Gothic" w:cs="Arial"/>
          <w:sz w:val="20"/>
          <w:szCs w:val="20"/>
          <w:lang w:val="es-ES"/>
        </w:rPr>
      </w:pPr>
      <w:r w:rsidRPr="00E10543">
        <w:rPr>
          <w:rFonts w:ascii="Century Gothic" w:hAnsi="Century Gothic" w:cs="Arial"/>
          <w:bCs/>
          <w:sz w:val="20"/>
          <w:szCs w:val="20"/>
          <w:lang w:val="es-ES_tradnl"/>
        </w:rPr>
        <w:t xml:space="preserve">En cumplimiento </w:t>
      </w:r>
      <w:r w:rsidR="006E0C82" w:rsidRPr="00E10543">
        <w:rPr>
          <w:rFonts w:ascii="Century Gothic" w:hAnsi="Century Gothic" w:cs="Arial"/>
          <w:bCs/>
          <w:sz w:val="20"/>
          <w:szCs w:val="20"/>
          <w:lang w:val="es-ES_tradnl"/>
        </w:rPr>
        <w:t xml:space="preserve">de la designación realizada </w:t>
      </w:r>
      <w:r w:rsidRPr="00E10543">
        <w:rPr>
          <w:rFonts w:ascii="Century Gothic" w:hAnsi="Century Gothic" w:cs="Arial"/>
          <w:bCs/>
          <w:sz w:val="20"/>
          <w:szCs w:val="20"/>
          <w:lang w:val="es-ES_tradnl"/>
        </w:rPr>
        <w:t xml:space="preserve">por la Honorable Mesa Directiva de la Comisión Primera Constitucional de la Cámara de Representantes del Congreso de la República y de conformidad con lo establecido en el artículo 156 de la Ley 5ª de 1992, me permito rendir Informe de Ponencia para </w:t>
      </w:r>
      <w:r w:rsidR="00EA6409">
        <w:rPr>
          <w:rFonts w:ascii="Century Gothic" w:hAnsi="Century Gothic" w:cs="Arial"/>
          <w:bCs/>
          <w:sz w:val="20"/>
          <w:szCs w:val="20"/>
          <w:lang w:val="es-ES_tradnl"/>
        </w:rPr>
        <w:t>primer</w:t>
      </w:r>
      <w:r w:rsidRPr="00E10543">
        <w:rPr>
          <w:rFonts w:ascii="Century Gothic" w:hAnsi="Century Gothic" w:cs="Arial"/>
          <w:bCs/>
          <w:sz w:val="20"/>
          <w:szCs w:val="20"/>
          <w:lang w:val="es-ES_tradnl"/>
        </w:rPr>
        <w:t xml:space="preserve"> debate al Proyecto de Ley</w:t>
      </w:r>
      <w:r w:rsidR="00517119" w:rsidRPr="00E10543">
        <w:rPr>
          <w:rFonts w:ascii="Century Gothic" w:hAnsi="Century Gothic" w:cs="Arial"/>
          <w:bCs/>
          <w:sz w:val="20"/>
          <w:szCs w:val="20"/>
          <w:lang w:val="es-ES_tradnl"/>
        </w:rPr>
        <w:t xml:space="preserve"> </w:t>
      </w:r>
      <w:r w:rsidRPr="00E10543">
        <w:rPr>
          <w:rFonts w:ascii="Century Gothic" w:hAnsi="Century Gothic" w:cs="Arial"/>
          <w:bCs/>
          <w:sz w:val="20"/>
          <w:szCs w:val="20"/>
          <w:lang w:val="es-ES_tradnl"/>
        </w:rPr>
        <w:t>número 0</w:t>
      </w:r>
      <w:r w:rsidR="00617912" w:rsidRPr="00E10543">
        <w:rPr>
          <w:rFonts w:ascii="Century Gothic" w:hAnsi="Century Gothic" w:cs="Arial"/>
          <w:bCs/>
          <w:sz w:val="20"/>
          <w:szCs w:val="20"/>
          <w:lang w:val="es-ES_tradnl"/>
        </w:rPr>
        <w:t>5</w:t>
      </w:r>
      <w:r w:rsidR="00154B97" w:rsidRPr="00E10543">
        <w:rPr>
          <w:rFonts w:ascii="Century Gothic" w:hAnsi="Century Gothic" w:cs="Arial"/>
          <w:bCs/>
          <w:sz w:val="20"/>
          <w:szCs w:val="20"/>
          <w:lang w:val="es-ES_tradnl"/>
        </w:rPr>
        <w:t>2</w:t>
      </w:r>
      <w:r w:rsidRPr="00E10543">
        <w:rPr>
          <w:rFonts w:ascii="Century Gothic" w:hAnsi="Century Gothic" w:cs="Arial"/>
          <w:bCs/>
          <w:sz w:val="20"/>
          <w:szCs w:val="20"/>
          <w:lang w:val="es-ES_tradnl"/>
        </w:rPr>
        <w:t xml:space="preserve"> de 202</w:t>
      </w:r>
      <w:r w:rsidR="00154B97" w:rsidRPr="00E10543">
        <w:rPr>
          <w:rFonts w:ascii="Century Gothic" w:hAnsi="Century Gothic" w:cs="Arial"/>
          <w:bCs/>
          <w:sz w:val="20"/>
          <w:szCs w:val="20"/>
          <w:lang w:val="es-ES_tradnl"/>
        </w:rPr>
        <w:t>3</w:t>
      </w:r>
      <w:r w:rsidRPr="00E10543">
        <w:rPr>
          <w:rFonts w:ascii="Century Gothic" w:hAnsi="Century Gothic" w:cs="Arial"/>
          <w:bCs/>
          <w:sz w:val="20"/>
          <w:szCs w:val="20"/>
          <w:lang w:val="es-ES_tradnl"/>
        </w:rPr>
        <w:t xml:space="preserve"> Cámara, </w:t>
      </w:r>
      <w:r w:rsidR="00154B97" w:rsidRPr="00E10543">
        <w:rPr>
          <w:rFonts w:ascii="Century Gothic" w:hAnsi="Century Gothic" w:cstheme="minorHAnsi"/>
          <w:b/>
          <w:i/>
          <w:iCs/>
          <w:sz w:val="20"/>
          <w:szCs w:val="20"/>
        </w:rPr>
        <w:t>“Por medio del cual se incorpora en el Ordenamiento Jurídico Colombiano la violencia vicaria, se modifica la Ley 1257 de 2008 y la Ley 2126 de 2021 y se dictan otras disposiciones</w:t>
      </w:r>
      <w:r w:rsidRPr="00E10543">
        <w:rPr>
          <w:rFonts w:ascii="Century Gothic" w:hAnsi="Century Gothic" w:cstheme="minorHAnsi"/>
          <w:sz w:val="20"/>
          <w:szCs w:val="20"/>
        </w:rPr>
        <w:t>”,</w:t>
      </w:r>
      <w:r w:rsidR="005D0D55" w:rsidRPr="00E10543">
        <w:rPr>
          <w:rFonts w:ascii="Century Gothic" w:hAnsi="Century Gothic" w:cstheme="minorHAnsi"/>
          <w:sz w:val="20"/>
          <w:szCs w:val="20"/>
        </w:rPr>
        <w:t xml:space="preserve"> </w:t>
      </w:r>
      <w:r w:rsidRPr="00E10543">
        <w:rPr>
          <w:rFonts w:ascii="Century Gothic" w:hAnsi="Century Gothic" w:cs="Arial"/>
          <w:sz w:val="20"/>
          <w:szCs w:val="20"/>
          <w:lang w:val="es-ES"/>
        </w:rPr>
        <w:t>con base en las siguientes consideraciones:</w:t>
      </w:r>
    </w:p>
    <w:p w14:paraId="3EDD9FFB" w14:textId="2B73C92A" w:rsidR="00FE292B" w:rsidRPr="00E10543" w:rsidRDefault="00FE292B" w:rsidP="00E10543">
      <w:pPr>
        <w:pStyle w:val="NormalWeb"/>
        <w:shd w:val="clear" w:color="auto" w:fill="FFFFFF"/>
        <w:spacing w:before="0" w:beforeAutospacing="0" w:after="0" w:afterAutospacing="0" w:line="276" w:lineRule="auto"/>
        <w:ind w:left="426"/>
        <w:jc w:val="both"/>
        <w:rPr>
          <w:rFonts w:ascii="Century Gothic" w:hAnsi="Century Gothic" w:cs="Arial"/>
          <w:sz w:val="20"/>
          <w:szCs w:val="20"/>
          <w:lang w:val="es-ES"/>
        </w:rPr>
      </w:pPr>
    </w:p>
    <w:p w14:paraId="17A212BA" w14:textId="7621A57B" w:rsidR="00756FAE" w:rsidRPr="00E10543" w:rsidRDefault="00756FAE" w:rsidP="00E10543">
      <w:pPr>
        <w:pBdr>
          <w:top w:val="nil"/>
          <w:left w:val="nil"/>
          <w:bottom w:val="nil"/>
          <w:right w:val="nil"/>
          <w:between w:val="nil"/>
        </w:pBdr>
        <w:spacing w:line="276" w:lineRule="auto"/>
        <w:ind w:left="426"/>
        <w:rPr>
          <w:rFonts w:ascii="Century Gothic" w:eastAsia="Bookman Old Style" w:hAnsi="Century Gothic" w:cs="Bookman Old Style"/>
          <w:color w:val="000000"/>
          <w:sz w:val="20"/>
          <w:szCs w:val="20"/>
        </w:rPr>
      </w:pPr>
    </w:p>
    <w:p w14:paraId="7E1C70E5" w14:textId="0473E333" w:rsidR="005A4FEA" w:rsidRPr="00E10543" w:rsidRDefault="009F4ADA" w:rsidP="00E10543">
      <w:pPr>
        <w:pBdr>
          <w:top w:val="nil"/>
          <w:left w:val="nil"/>
          <w:bottom w:val="nil"/>
          <w:right w:val="nil"/>
          <w:between w:val="nil"/>
        </w:pBdr>
        <w:spacing w:line="276" w:lineRule="auto"/>
        <w:ind w:left="426" w:right="115"/>
        <w:rPr>
          <w:rFonts w:ascii="Century Gothic" w:eastAsia="Calibri" w:hAnsi="Century Gothic" w:cs="Calibri"/>
          <w:b/>
          <w:sz w:val="20"/>
          <w:szCs w:val="20"/>
        </w:rPr>
      </w:pPr>
      <w:r w:rsidRPr="00E10543">
        <w:rPr>
          <w:rFonts w:ascii="Century Gothic" w:eastAsia="Calibri" w:hAnsi="Century Gothic" w:cs="Calibri"/>
          <w:b/>
          <w:sz w:val="20"/>
          <w:szCs w:val="20"/>
        </w:rPr>
        <w:t>CONTENIDO</w:t>
      </w:r>
    </w:p>
    <w:p w14:paraId="17AB7CCF" w14:textId="77777777" w:rsidR="001257A4" w:rsidRPr="00E10543" w:rsidRDefault="00EA2C95" w:rsidP="00E10543">
      <w:pPr>
        <w:pStyle w:val="Prrafodelista"/>
        <w:numPr>
          <w:ilvl w:val="0"/>
          <w:numId w:val="6"/>
        </w:numPr>
        <w:pBdr>
          <w:top w:val="nil"/>
          <w:left w:val="nil"/>
          <w:bottom w:val="nil"/>
          <w:right w:val="nil"/>
          <w:between w:val="nil"/>
        </w:pBdr>
        <w:spacing w:after="160" w:line="276" w:lineRule="auto"/>
        <w:ind w:left="426" w:right="115"/>
        <w:rPr>
          <w:rFonts w:ascii="Century Gothic" w:eastAsia="Calibri" w:hAnsi="Century Gothic" w:cs="Calibri"/>
          <w:bCs/>
          <w:sz w:val="20"/>
          <w:szCs w:val="20"/>
        </w:rPr>
      </w:pPr>
      <w:r w:rsidRPr="00E10543">
        <w:rPr>
          <w:rFonts w:ascii="Century Gothic" w:eastAsia="Calibri" w:hAnsi="Century Gothic" w:cs="Calibri"/>
          <w:bCs/>
          <w:sz w:val="20"/>
          <w:szCs w:val="20"/>
        </w:rPr>
        <w:t>Trámite de la iniciativa.</w:t>
      </w:r>
    </w:p>
    <w:p w14:paraId="20DF38F3" w14:textId="28DFE280" w:rsidR="00EA2C95" w:rsidRPr="00E10543" w:rsidRDefault="00EA2C95" w:rsidP="00E10543">
      <w:pPr>
        <w:pStyle w:val="Prrafodelista"/>
        <w:numPr>
          <w:ilvl w:val="0"/>
          <w:numId w:val="6"/>
        </w:numPr>
        <w:pBdr>
          <w:top w:val="nil"/>
          <w:left w:val="nil"/>
          <w:bottom w:val="nil"/>
          <w:right w:val="nil"/>
          <w:between w:val="nil"/>
        </w:pBdr>
        <w:spacing w:after="160" w:line="276" w:lineRule="auto"/>
        <w:ind w:left="426" w:right="115"/>
        <w:rPr>
          <w:rFonts w:ascii="Century Gothic" w:eastAsia="Calibri" w:hAnsi="Century Gothic" w:cs="Calibri"/>
          <w:bCs/>
          <w:sz w:val="20"/>
          <w:szCs w:val="20"/>
        </w:rPr>
      </w:pPr>
      <w:r w:rsidRPr="00E10543">
        <w:rPr>
          <w:rFonts w:ascii="Century Gothic" w:eastAsia="Calibri" w:hAnsi="Century Gothic" w:cs="Calibri"/>
          <w:bCs/>
          <w:sz w:val="20"/>
          <w:szCs w:val="20"/>
        </w:rPr>
        <w:t>Objeto.</w:t>
      </w:r>
    </w:p>
    <w:p w14:paraId="60840B19" w14:textId="23DEADBE" w:rsidR="00EA2C95" w:rsidRPr="00E10543" w:rsidRDefault="00EA2C95" w:rsidP="00E10543">
      <w:pPr>
        <w:pStyle w:val="Prrafodelista"/>
        <w:numPr>
          <w:ilvl w:val="0"/>
          <w:numId w:val="6"/>
        </w:numPr>
        <w:pBdr>
          <w:top w:val="nil"/>
          <w:left w:val="nil"/>
          <w:bottom w:val="nil"/>
          <w:right w:val="nil"/>
          <w:between w:val="nil"/>
        </w:pBdr>
        <w:spacing w:after="160" w:line="276" w:lineRule="auto"/>
        <w:ind w:left="426" w:right="115"/>
        <w:rPr>
          <w:rFonts w:ascii="Century Gothic" w:eastAsia="Calibri" w:hAnsi="Century Gothic" w:cs="Calibri"/>
          <w:bCs/>
          <w:sz w:val="20"/>
          <w:szCs w:val="20"/>
        </w:rPr>
      </w:pPr>
      <w:r w:rsidRPr="00E10543">
        <w:rPr>
          <w:rFonts w:ascii="Century Gothic" w:eastAsia="Calibri" w:hAnsi="Century Gothic" w:cs="Calibri"/>
          <w:bCs/>
          <w:sz w:val="20"/>
          <w:szCs w:val="20"/>
        </w:rPr>
        <w:t>Justificación del proyecto de ley.</w:t>
      </w:r>
    </w:p>
    <w:p w14:paraId="656E1D55" w14:textId="17593595" w:rsidR="00EA2C95" w:rsidRDefault="00EA2C95" w:rsidP="00E10543">
      <w:pPr>
        <w:pStyle w:val="Prrafodelista"/>
        <w:numPr>
          <w:ilvl w:val="0"/>
          <w:numId w:val="6"/>
        </w:numPr>
        <w:pBdr>
          <w:top w:val="nil"/>
          <w:left w:val="nil"/>
          <w:bottom w:val="nil"/>
          <w:right w:val="nil"/>
          <w:between w:val="nil"/>
        </w:pBdr>
        <w:spacing w:after="160" w:line="276" w:lineRule="auto"/>
        <w:ind w:left="426" w:right="115"/>
        <w:rPr>
          <w:rFonts w:ascii="Century Gothic" w:eastAsia="Calibri" w:hAnsi="Century Gothic" w:cs="Calibri"/>
          <w:bCs/>
          <w:sz w:val="20"/>
          <w:szCs w:val="20"/>
        </w:rPr>
      </w:pPr>
      <w:r w:rsidRPr="00E10543">
        <w:rPr>
          <w:rFonts w:ascii="Century Gothic" w:eastAsia="Calibri" w:hAnsi="Century Gothic" w:cs="Calibri"/>
          <w:bCs/>
          <w:sz w:val="20"/>
          <w:szCs w:val="20"/>
        </w:rPr>
        <w:t>Competencia del Congreso.</w:t>
      </w:r>
    </w:p>
    <w:p w14:paraId="54694E39" w14:textId="116D770B" w:rsidR="005A6B1D" w:rsidRPr="00E10543" w:rsidRDefault="005A6B1D" w:rsidP="00E10543">
      <w:pPr>
        <w:pStyle w:val="Prrafodelista"/>
        <w:numPr>
          <w:ilvl w:val="0"/>
          <w:numId w:val="6"/>
        </w:numPr>
        <w:pBdr>
          <w:top w:val="nil"/>
          <w:left w:val="nil"/>
          <w:bottom w:val="nil"/>
          <w:right w:val="nil"/>
          <w:between w:val="nil"/>
        </w:pBdr>
        <w:spacing w:after="160" w:line="276" w:lineRule="auto"/>
        <w:ind w:left="426" w:right="115"/>
        <w:rPr>
          <w:rFonts w:ascii="Century Gothic" w:eastAsia="Calibri" w:hAnsi="Century Gothic" w:cs="Calibri"/>
          <w:bCs/>
          <w:sz w:val="20"/>
          <w:szCs w:val="20"/>
        </w:rPr>
      </w:pPr>
      <w:r>
        <w:rPr>
          <w:rFonts w:ascii="Century Gothic" w:eastAsia="Calibri" w:hAnsi="Century Gothic" w:cs="Calibri"/>
          <w:bCs/>
          <w:sz w:val="20"/>
          <w:szCs w:val="20"/>
        </w:rPr>
        <w:t>Impacto Fiscal</w:t>
      </w:r>
    </w:p>
    <w:p w14:paraId="3EAEB038" w14:textId="55DFABCA" w:rsidR="008D2E81" w:rsidRPr="00E10543" w:rsidRDefault="008D2E81" w:rsidP="00E10543">
      <w:pPr>
        <w:pStyle w:val="Prrafodelista"/>
        <w:numPr>
          <w:ilvl w:val="0"/>
          <w:numId w:val="6"/>
        </w:numPr>
        <w:pBdr>
          <w:top w:val="nil"/>
          <w:left w:val="nil"/>
          <w:bottom w:val="nil"/>
          <w:right w:val="nil"/>
          <w:between w:val="nil"/>
        </w:pBdr>
        <w:spacing w:after="160" w:line="276" w:lineRule="auto"/>
        <w:ind w:left="426" w:right="115"/>
        <w:rPr>
          <w:rFonts w:ascii="Century Gothic" w:eastAsia="Calibri" w:hAnsi="Century Gothic" w:cs="Calibri"/>
          <w:bCs/>
          <w:sz w:val="20"/>
          <w:szCs w:val="20"/>
        </w:rPr>
      </w:pPr>
      <w:r w:rsidRPr="00E10543">
        <w:rPr>
          <w:rFonts w:ascii="Century Gothic" w:eastAsia="Calibri" w:hAnsi="Century Gothic" w:cs="Calibri"/>
          <w:bCs/>
          <w:sz w:val="20"/>
          <w:szCs w:val="20"/>
        </w:rPr>
        <w:t>Pliego de Modificaciones.</w:t>
      </w:r>
    </w:p>
    <w:p w14:paraId="730410F5" w14:textId="77777777" w:rsidR="00EA2C95" w:rsidRPr="00E10543" w:rsidRDefault="00EA2C95" w:rsidP="00E10543">
      <w:pPr>
        <w:pStyle w:val="Prrafodelista"/>
        <w:numPr>
          <w:ilvl w:val="0"/>
          <w:numId w:val="6"/>
        </w:numPr>
        <w:pBdr>
          <w:top w:val="nil"/>
          <w:left w:val="nil"/>
          <w:bottom w:val="nil"/>
          <w:right w:val="nil"/>
          <w:between w:val="nil"/>
        </w:pBdr>
        <w:spacing w:after="160" w:line="276" w:lineRule="auto"/>
        <w:ind w:left="426" w:right="115"/>
        <w:rPr>
          <w:rFonts w:ascii="Century Gothic" w:eastAsia="Calibri" w:hAnsi="Century Gothic" w:cs="Calibri"/>
          <w:bCs/>
          <w:sz w:val="20"/>
          <w:szCs w:val="20"/>
        </w:rPr>
      </w:pPr>
      <w:r w:rsidRPr="00E10543">
        <w:rPr>
          <w:rFonts w:ascii="Century Gothic" w:eastAsia="Calibri" w:hAnsi="Century Gothic" w:cs="Calibri"/>
          <w:bCs/>
          <w:sz w:val="20"/>
          <w:szCs w:val="20"/>
        </w:rPr>
        <w:t>Conflictos de Interés.</w:t>
      </w:r>
    </w:p>
    <w:p w14:paraId="7E0B6A6E" w14:textId="77777777" w:rsidR="00EA2C95" w:rsidRPr="00E10543" w:rsidRDefault="00EA2C95" w:rsidP="00E10543">
      <w:pPr>
        <w:pStyle w:val="Prrafodelista"/>
        <w:numPr>
          <w:ilvl w:val="0"/>
          <w:numId w:val="6"/>
        </w:numPr>
        <w:pBdr>
          <w:top w:val="nil"/>
          <w:left w:val="nil"/>
          <w:bottom w:val="nil"/>
          <w:right w:val="nil"/>
          <w:between w:val="nil"/>
        </w:pBdr>
        <w:spacing w:after="160" w:line="276" w:lineRule="auto"/>
        <w:ind w:left="426" w:right="115"/>
        <w:rPr>
          <w:rFonts w:ascii="Century Gothic" w:eastAsia="Calibri" w:hAnsi="Century Gothic" w:cs="Calibri"/>
          <w:bCs/>
          <w:sz w:val="20"/>
          <w:szCs w:val="20"/>
        </w:rPr>
      </w:pPr>
      <w:r w:rsidRPr="00E10543">
        <w:rPr>
          <w:rFonts w:ascii="Century Gothic" w:eastAsia="Calibri" w:hAnsi="Century Gothic" w:cs="Calibri"/>
          <w:bCs/>
          <w:sz w:val="20"/>
          <w:szCs w:val="20"/>
        </w:rPr>
        <w:t>Proposición.</w:t>
      </w:r>
    </w:p>
    <w:p w14:paraId="16FEFFAA" w14:textId="41D1CD85" w:rsidR="00EA2C95" w:rsidRDefault="00EA2C95" w:rsidP="00E10543">
      <w:pPr>
        <w:pStyle w:val="Prrafodelista"/>
        <w:numPr>
          <w:ilvl w:val="0"/>
          <w:numId w:val="6"/>
        </w:numPr>
        <w:pBdr>
          <w:top w:val="nil"/>
          <w:left w:val="nil"/>
          <w:bottom w:val="nil"/>
          <w:right w:val="nil"/>
          <w:between w:val="nil"/>
        </w:pBdr>
        <w:spacing w:after="160" w:line="276" w:lineRule="auto"/>
        <w:ind w:left="426" w:right="115"/>
        <w:rPr>
          <w:rFonts w:ascii="Century Gothic" w:eastAsia="Calibri" w:hAnsi="Century Gothic" w:cs="Calibri"/>
          <w:bCs/>
          <w:sz w:val="20"/>
          <w:szCs w:val="20"/>
        </w:rPr>
      </w:pPr>
      <w:r w:rsidRPr="00E10543">
        <w:rPr>
          <w:rFonts w:ascii="Century Gothic" w:eastAsia="Calibri" w:hAnsi="Century Gothic" w:cs="Calibri"/>
          <w:bCs/>
          <w:sz w:val="20"/>
          <w:szCs w:val="20"/>
        </w:rPr>
        <w:t xml:space="preserve">Texto propuesto para </w:t>
      </w:r>
      <w:r w:rsidR="00286CA8" w:rsidRPr="00E10543">
        <w:rPr>
          <w:rFonts w:ascii="Century Gothic" w:eastAsia="Calibri" w:hAnsi="Century Gothic" w:cs="Calibri"/>
          <w:bCs/>
          <w:sz w:val="20"/>
          <w:szCs w:val="20"/>
        </w:rPr>
        <w:t>segundo</w:t>
      </w:r>
      <w:r w:rsidRPr="00E10543">
        <w:rPr>
          <w:rFonts w:ascii="Century Gothic" w:eastAsia="Calibri" w:hAnsi="Century Gothic" w:cs="Calibri"/>
          <w:bCs/>
          <w:sz w:val="20"/>
          <w:szCs w:val="20"/>
        </w:rPr>
        <w:t xml:space="preserve"> debate al Proyecto de Ley número </w:t>
      </w:r>
      <w:r w:rsidR="00781A8F" w:rsidRPr="00E10543">
        <w:rPr>
          <w:rFonts w:ascii="Century Gothic" w:eastAsia="Calibri" w:hAnsi="Century Gothic" w:cs="Calibri"/>
          <w:bCs/>
          <w:sz w:val="20"/>
          <w:szCs w:val="20"/>
        </w:rPr>
        <w:t>065</w:t>
      </w:r>
      <w:r w:rsidRPr="00E10543">
        <w:rPr>
          <w:rFonts w:ascii="Century Gothic" w:eastAsia="Calibri" w:hAnsi="Century Gothic" w:cs="Calibri"/>
          <w:bCs/>
          <w:sz w:val="20"/>
          <w:szCs w:val="20"/>
        </w:rPr>
        <w:t xml:space="preserve"> de 2022 Cámara.</w:t>
      </w:r>
    </w:p>
    <w:p w14:paraId="65A1FCAE" w14:textId="3512F7C7" w:rsidR="005A6B1D" w:rsidRDefault="005A6B1D" w:rsidP="00EA6409">
      <w:pPr>
        <w:pStyle w:val="Prrafodelista"/>
        <w:pBdr>
          <w:top w:val="nil"/>
          <w:left w:val="nil"/>
          <w:bottom w:val="nil"/>
          <w:right w:val="nil"/>
          <w:between w:val="nil"/>
        </w:pBdr>
        <w:spacing w:after="160" w:line="276" w:lineRule="auto"/>
        <w:ind w:left="426" w:right="115"/>
        <w:rPr>
          <w:rFonts w:ascii="Century Gothic" w:eastAsia="Calibri" w:hAnsi="Century Gothic" w:cs="Calibri"/>
          <w:bCs/>
          <w:sz w:val="20"/>
          <w:szCs w:val="20"/>
        </w:rPr>
      </w:pPr>
    </w:p>
    <w:p w14:paraId="33B85BF8" w14:textId="70E7FC68" w:rsidR="00EA6409" w:rsidRDefault="00EA6409" w:rsidP="00EA6409">
      <w:pPr>
        <w:pStyle w:val="Prrafodelista"/>
        <w:pBdr>
          <w:top w:val="nil"/>
          <w:left w:val="nil"/>
          <w:bottom w:val="nil"/>
          <w:right w:val="nil"/>
          <w:between w:val="nil"/>
        </w:pBdr>
        <w:spacing w:after="160" w:line="276" w:lineRule="auto"/>
        <w:ind w:left="426" w:right="115"/>
        <w:rPr>
          <w:rFonts w:ascii="Century Gothic" w:eastAsia="Calibri" w:hAnsi="Century Gothic" w:cs="Calibri"/>
          <w:bCs/>
          <w:sz w:val="20"/>
          <w:szCs w:val="20"/>
        </w:rPr>
      </w:pPr>
    </w:p>
    <w:p w14:paraId="0ECB213D" w14:textId="6F29B631" w:rsidR="00EA6409" w:rsidRDefault="00EA6409" w:rsidP="00EA6409">
      <w:pPr>
        <w:pStyle w:val="Prrafodelista"/>
        <w:pBdr>
          <w:top w:val="nil"/>
          <w:left w:val="nil"/>
          <w:bottom w:val="nil"/>
          <w:right w:val="nil"/>
          <w:between w:val="nil"/>
        </w:pBdr>
        <w:spacing w:after="160" w:line="276" w:lineRule="auto"/>
        <w:ind w:left="426" w:right="115"/>
        <w:rPr>
          <w:rFonts w:ascii="Century Gothic" w:eastAsia="Calibri" w:hAnsi="Century Gothic" w:cs="Calibri"/>
          <w:bCs/>
          <w:sz w:val="20"/>
          <w:szCs w:val="20"/>
        </w:rPr>
      </w:pPr>
    </w:p>
    <w:p w14:paraId="2E3F6B11" w14:textId="42EC847F" w:rsidR="00EA6409" w:rsidRDefault="00EA6409" w:rsidP="00EA6409">
      <w:pPr>
        <w:pStyle w:val="Prrafodelista"/>
        <w:pBdr>
          <w:top w:val="nil"/>
          <w:left w:val="nil"/>
          <w:bottom w:val="nil"/>
          <w:right w:val="nil"/>
          <w:between w:val="nil"/>
        </w:pBdr>
        <w:spacing w:after="160" w:line="276" w:lineRule="auto"/>
        <w:ind w:left="426" w:right="115"/>
        <w:rPr>
          <w:rFonts w:ascii="Century Gothic" w:eastAsia="Calibri" w:hAnsi="Century Gothic" w:cs="Calibri"/>
          <w:bCs/>
          <w:sz w:val="20"/>
          <w:szCs w:val="20"/>
        </w:rPr>
      </w:pPr>
    </w:p>
    <w:p w14:paraId="06A3C40E" w14:textId="38B9ED70" w:rsidR="00EA6409" w:rsidRDefault="00EA6409" w:rsidP="00EA6409">
      <w:pPr>
        <w:pStyle w:val="Prrafodelista"/>
        <w:pBdr>
          <w:top w:val="nil"/>
          <w:left w:val="nil"/>
          <w:bottom w:val="nil"/>
          <w:right w:val="nil"/>
          <w:between w:val="nil"/>
        </w:pBdr>
        <w:spacing w:after="160" w:line="276" w:lineRule="auto"/>
        <w:ind w:left="426" w:right="115"/>
        <w:rPr>
          <w:rFonts w:ascii="Century Gothic" w:eastAsia="Calibri" w:hAnsi="Century Gothic" w:cs="Calibri"/>
          <w:bCs/>
          <w:sz w:val="20"/>
          <w:szCs w:val="20"/>
        </w:rPr>
      </w:pPr>
    </w:p>
    <w:p w14:paraId="4FD6BD45" w14:textId="2309E07A" w:rsidR="00EA6409" w:rsidRDefault="00EA6409" w:rsidP="00EA6409">
      <w:pPr>
        <w:pStyle w:val="Prrafodelista"/>
        <w:pBdr>
          <w:top w:val="nil"/>
          <w:left w:val="nil"/>
          <w:bottom w:val="nil"/>
          <w:right w:val="nil"/>
          <w:between w:val="nil"/>
        </w:pBdr>
        <w:spacing w:after="160" w:line="276" w:lineRule="auto"/>
        <w:ind w:left="426" w:right="115"/>
        <w:rPr>
          <w:rFonts w:ascii="Century Gothic" w:eastAsia="Calibri" w:hAnsi="Century Gothic" w:cs="Calibri"/>
          <w:bCs/>
          <w:sz w:val="20"/>
          <w:szCs w:val="20"/>
        </w:rPr>
      </w:pPr>
    </w:p>
    <w:p w14:paraId="4CF56277" w14:textId="35EA6191" w:rsidR="00EA6409" w:rsidRDefault="00EA6409" w:rsidP="00EA6409">
      <w:pPr>
        <w:pStyle w:val="Prrafodelista"/>
        <w:pBdr>
          <w:top w:val="nil"/>
          <w:left w:val="nil"/>
          <w:bottom w:val="nil"/>
          <w:right w:val="nil"/>
          <w:between w:val="nil"/>
        </w:pBdr>
        <w:spacing w:after="160" w:line="276" w:lineRule="auto"/>
        <w:ind w:left="426" w:right="115"/>
        <w:rPr>
          <w:rFonts w:ascii="Century Gothic" w:eastAsia="Calibri" w:hAnsi="Century Gothic" w:cs="Calibri"/>
          <w:bCs/>
          <w:sz w:val="20"/>
          <w:szCs w:val="20"/>
        </w:rPr>
      </w:pPr>
    </w:p>
    <w:p w14:paraId="7BADB6D6" w14:textId="527009D7" w:rsidR="00EA6409" w:rsidRDefault="00EA6409" w:rsidP="00EA6409">
      <w:pPr>
        <w:pStyle w:val="Prrafodelista"/>
        <w:pBdr>
          <w:top w:val="nil"/>
          <w:left w:val="nil"/>
          <w:bottom w:val="nil"/>
          <w:right w:val="nil"/>
          <w:between w:val="nil"/>
        </w:pBdr>
        <w:spacing w:after="160" w:line="276" w:lineRule="auto"/>
        <w:ind w:left="426" w:right="115"/>
        <w:rPr>
          <w:rFonts w:ascii="Century Gothic" w:eastAsia="Calibri" w:hAnsi="Century Gothic" w:cs="Calibri"/>
          <w:bCs/>
          <w:sz w:val="20"/>
          <w:szCs w:val="20"/>
        </w:rPr>
      </w:pPr>
    </w:p>
    <w:p w14:paraId="2F365C31" w14:textId="77777777" w:rsidR="00EA6409" w:rsidRDefault="00EA6409" w:rsidP="00EA6409">
      <w:pPr>
        <w:pStyle w:val="Prrafodelista"/>
        <w:pBdr>
          <w:top w:val="nil"/>
          <w:left w:val="nil"/>
          <w:bottom w:val="nil"/>
          <w:right w:val="nil"/>
          <w:between w:val="nil"/>
        </w:pBdr>
        <w:spacing w:after="160" w:line="276" w:lineRule="auto"/>
        <w:ind w:left="426" w:right="115"/>
        <w:rPr>
          <w:rFonts w:ascii="Century Gothic" w:eastAsia="Calibri" w:hAnsi="Century Gothic" w:cs="Calibri"/>
          <w:bCs/>
          <w:sz w:val="20"/>
          <w:szCs w:val="20"/>
        </w:rPr>
      </w:pPr>
    </w:p>
    <w:p w14:paraId="4700D8B9" w14:textId="5D05E0E3" w:rsidR="00EA6409" w:rsidRDefault="00EA6409" w:rsidP="00EA6409">
      <w:pPr>
        <w:pStyle w:val="Prrafodelista"/>
        <w:pBdr>
          <w:top w:val="nil"/>
          <w:left w:val="nil"/>
          <w:bottom w:val="nil"/>
          <w:right w:val="nil"/>
          <w:between w:val="nil"/>
        </w:pBdr>
        <w:spacing w:after="160" w:line="276" w:lineRule="auto"/>
        <w:ind w:left="426" w:right="115"/>
        <w:rPr>
          <w:rFonts w:ascii="Century Gothic" w:eastAsia="Calibri" w:hAnsi="Century Gothic" w:cs="Calibri"/>
          <w:bCs/>
          <w:sz w:val="20"/>
          <w:szCs w:val="20"/>
        </w:rPr>
      </w:pPr>
    </w:p>
    <w:p w14:paraId="459153E2" w14:textId="042B0858" w:rsidR="00EA6409" w:rsidRDefault="00EA6409" w:rsidP="00EA6409">
      <w:pPr>
        <w:pStyle w:val="Prrafodelista"/>
        <w:pBdr>
          <w:top w:val="nil"/>
          <w:left w:val="nil"/>
          <w:bottom w:val="nil"/>
          <w:right w:val="nil"/>
          <w:between w:val="nil"/>
        </w:pBdr>
        <w:spacing w:after="160" w:line="276" w:lineRule="auto"/>
        <w:ind w:left="426" w:right="115"/>
        <w:rPr>
          <w:rFonts w:ascii="Century Gothic" w:eastAsia="Calibri" w:hAnsi="Century Gothic" w:cs="Calibri"/>
          <w:bCs/>
          <w:sz w:val="20"/>
          <w:szCs w:val="20"/>
        </w:rPr>
      </w:pPr>
    </w:p>
    <w:p w14:paraId="23A3223E" w14:textId="6B6AD2FB" w:rsidR="00EA2C95" w:rsidRPr="00E10543" w:rsidRDefault="00EA2C95" w:rsidP="00E10543">
      <w:pPr>
        <w:pStyle w:val="Prrafodelista"/>
        <w:numPr>
          <w:ilvl w:val="0"/>
          <w:numId w:val="11"/>
        </w:numPr>
        <w:pBdr>
          <w:top w:val="nil"/>
          <w:left w:val="nil"/>
          <w:bottom w:val="nil"/>
          <w:right w:val="nil"/>
          <w:between w:val="nil"/>
        </w:pBdr>
        <w:spacing w:line="276" w:lineRule="auto"/>
        <w:ind w:left="426"/>
        <w:jc w:val="both"/>
        <w:rPr>
          <w:rFonts w:ascii="Century Gothic" w:eastAsia="Bookman Old Style" w:hAnsi="Century Gothic" w:cs="Bookman Old Style"/>
          <w:color w:val="000000"/>
          <w:sz w:val="20"/>
          <w:szCs w:val="20"/>
        </w:rPr>
      </w:pPr>
      <w:r w:rsidRPr="00E10543">
        <w:rPr>
          <w:rFonts w:ascii="Century Gothic" w:eastAsia="Bookman Old Style" w:hAnsi="Century Gothic" w:cs="Bookman Old Style"/>
          <w:b/>
          <w:color w:val="000000"/>
          <w:sz w:val="20"/>
          <w:szCs w:val="20"/>
        </w:rPr>
        <w:lastRenderedPageBreak/>
        <w:t>TRÁMITE DE LA INICIATIVA</w:t>
      </w:r>
      <w:r w:rsidRPr="00E10543">
        <w:rPr>
          <w:rFonts w:ascii="Century Gothic" w:eastAsia="Bookman Old Style" w:hAnsi="Century Gothic" w:cs="Bookman Old Style"/>
          <w:color w:val="000000"/>
          <w:sz w:val="20"/>
          <w:szCs w:val="20"/>
        </w:rPr>
        <w:t>.</w:t>
      </w:r>
    </w:p>
    <w:p w14:paraId="44657D3D" w14:textId="77777777" w:rsidR="00EA2C95" w:rsidRPr="00E10543" w:rsidRDefault="00EA2C95" w:rsidP="00E10543">
      <w:pPr>
        <w:pBdr>
          <w:top w:val="nil"/>
          <w:left w:val="nil"/>
          <w:bottom w:val="nil"/>
          <w:right w:val="nil"/>
          <w:between w:val="nil"/>
        </w:pBdr>
        <w:spacing w:line="276" w:lineRule="auto"/>
        <w:ind w:left="426"/>
        <w:jc w:val="both"/>
        <w:rPr>
          <w:rFonts w:ascii="Century Gothic" w:eastAsia="Bookman Old Style" w:hAnsi="Century Gothic" w:cs="Bookman Old Style"/>
          <w:color w:val="000000"/>
          <w:sz w:val="20"/>
          <w:szCs w:val="20"/>
        </w:rPr>
      </w:pPr>
    </w:p>
    <w:p w14:paraId="51F8CC64" w14:textId="02891AE4" w:rsidR="00154B97" w:rsidRPr="00E10543" w:rsidRDefault="00EA2C9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rPr>
      </w:pPr>
      <w:r w:rsidRPr="00E10543">
        <w:rPr>
          <w:rFonts w:ascii="Century Gothic" w:eastAsia="Bookman Old Style" w:hAnsi="Century Gothic" w:cs="Bookman Old Style"/>
          <w:color w:val="000000"/>
          <w:sz w:val="20"/>
          <w:szCs w:val="20"/>
        </w:rPr>
        <w:t>El proyecto de Ley</w:t>
      </w:r>
      <w:r w:rsidR="00517119" w:rsidRPr="00E10543">
        <w:rPr>
          <w:rFonts w:ascii="Century Gothic" w:eastAsia="Bookman Old Style" w:hAnsi="Century Gothic" w:cs="Bookman Old Style"/>
          <w:color w:val="000000"/>
          <w:sz w:val="20"/>
          <w:szCs w:val="20"/>
        </w:rPr>
        <w:t xml:space="preserve"> </w:t>
      </w:r>
      <w:r w:rsidRPr="00E10543">
        <w:rPr>
          <w:rFonts w:ascii="Century Gothic" w:eastAsia="Bookman Old Style" w:hAnsi="Century Gothic" w:cs="Bookman Old Style"/>
          <w:color w:val="000000"/>
          <w:sz w:val="20"/>
          <w:szCs w:val="20"/>
        </w:rPr>
        <w:t>número 0</w:t>
      </w:r>
      <w:r w:rsidR="00617912" w:rsidRPr="00E10543">
        <w:rPr>
          <w:rFonts w:ascii="Century Gothic" w:eastAsia="Bookman Old Style" w:hAnsi="Century Gothic" w:cs="Bookman Old Style"/>
          <w:color w:val="000000"/>
          <w:sz w:val="20"/>
          <w:szCs w:val="20"/>
        </w:rPr>
        <w:t>5</w:t>
      </w:r>
      <w:r w:rsidR="00154B97" w:rsidRPr="00E10543">
        <w:rPr>
          <w:rFonts w:ascii="Century Gothic" w:eastAsia="Bookman Old Style" w:hAnsi="Century Gothic" w:cs="Bookman Old Style"/>
          <w:color w:val="000000"/>
          <w:sz w:val="20"/>
          <w:szCs w:val="20"/>
        </w:rPr>
        <w:t>2 de 2023 Cámara fue radicado el día 8</w:t>
      </w:r>
      <w:r w:rsidRPr="00E10543">
        <w:rPr>
          <w:rFonts w:ascii="Century Gothic" w:eastAsia="Bookman Old Style" w:hAnsi="Century Gothic" w:cs="Bookman Old Style"/>
          <w:color w:val="000000"/>
          <w:sz w:val="20"/>
          <w:szCs w:val="20"/>
        </w:rPr>
        <w:t xml:space="preserve"> de </w:t>
      </w:r>
      <w:r w:rsidR="00617912" w:rsidRPr="00E10543">
        <w:rPr>
          <w:rFonts w:ascii="Century Gothic" w:eastAsia="Bookman Old Style" w:hAnsi="Century Gothic" w:cs="Bookman Old Style"/>
          <w:color w:val="000000"/>
          <w:sz w:val="20"/>
          <w:szCs w:val="20"/>
        </w:rPr>
        <w:t>agosto</w:t>
      </w:r>
      <w:r w:rsidR="00154B97" w:rsidRPr="00E10543">
        <w:rPr>
          <w:rFonts w:ascii="Century Gothic" w:eastAsia="Bookman Old Style" w:hAnsi="Century Gothic" w:cs="Bookman Old Style"/>
          <w:color w:val="000000"/>
          <w:sz w:val="20"/>
          <w:szCs w:val="20"/>
        </w:rPr>
        <w:t xml:space="preserve"> de 2023</w:t>
      </w:r>
      <w:r w:rsidRPr="00E10543">
        <w:rPr>
          <w:rFonts w:ascii="Century Gothic" w:eastAsia="Bookman Old Style" w:hAnsi="Century Gothic" w:cs="Bookman Old Style"/>
          <w:color w:val="000000"/>
          <w:sz w:val="20"/>
          <w:szCs w:val="20"/>
        </w:rPr>
        <w:t xml:space="preserve"> por </w:t>
      </w:r>
      <w:r w:rsidR="00154B97" w:rsidRPr="00E10543">
        <w:rPr>
          <w:rFonts w:ascii="Century Gothic" w:eastAsia="Bookman Old Style" w:hAnsi="Century Gothic" w:cs="Bookman Old Style"/>
          <w:color w:val="000000"/>
          <w:sz w:val="20"/>
          <w:szCs w:val="20"/>
        </w:rPr>
        <w:t>los representantes: HHRR. Leider Alexandra Vásquez Ochoa, Luz María Múnera Medina, Lina María Garrido Martín, Alfredo Mondragón Garzón, Jennifer Dalley Pedraza Sandoval, Alirio Uribe Muñoz, Astrid Sánchez Montes De Oca, Luvi Katherine Miranda Peña, Germán José Gómez López, Cristian Danilo Avendaño Fino, Daniel Carvalho Mejía, Pedro José Suárez Vacca, María Fernanda Carrascal Rojas, Juan Carlos Lozada Vargas, Ermes Evelio Pete Vivas, Agmeth José Escaf Tijerino, Julia Miranda Londoño, Los Honorables Senadores Jael Quiroga Carrillo, Griselda Lobo Silva, Aida Yolanda Avella Esquivel</w:t>
      </w:r>
      <w:r w:rsidR="00CF7805" w:rsidRPr="00E10543">
        <w:rPr>
          <w:rFonts w:ascii="Century Gothic" w:eastAsia="Bookman Old Style" w:hAnsi="Century Gothic" w:cs="Bookman Old Style"/>
          <w:sz w:val="20"/>
          <w:szCs w:val="20"/>
        </w:rPr>
        <w:t>, publicado</w:t>
      </w:r>
      <w:r w:rsidR="008C6A1F" w:rsidRPr="00E10543">
        <w:rPr>
          <w:rFonts w:ascii="Century Gothic" w:eastAsia="Bookman Old Style" w:hAnsi="Century Gothic" w:cs="Bookman Old Style"/>
          <w:sz w:val="20"/>
          <w:szCs w:val="20"/>
        </w:rPr>
        <w:t xml:space="preserve"> en la gaceta</w:t>
      </w:r>
      <w:r w:rsidR="00CF7805" w:rsidRPr="00E10543">
        <w:rPr>
          <w:rFonts w:ascii="Century Gothic" w:eastAsia="Bookman Old Style" w:hAnsi="Century Gothic" w:cs="Bookman Old Style"/>
          <w:sz w:val="20"/>
          <w:szCs w:val="20"/>
        </w:rPr>
        <w:t xml:space="preserve"> número</w:t>
      </w:r>
      <w:r w:rsidR="008C6A1F" w:rsidRPr="00E10543">
        <w:rPr>
          <w:rFonts w:ascii="Century Gothic" w:eastAsia="Bookman Old Style" w:hAnsi="Century Gothic" w:cs="Bookman Old Style"/>
          <w:sz w:val="20"/>
          <w:szCs w:val="20"/>
        </w:rPr>
        <w:t xml:space="preserve"> 973 de 2023 </w:t>
      </w:r>
    </w:p>
    <w:p w14:paraId="0D87FE62" w14:textId="77777777" w:rsidR="00154B97" w:rsidRPr="00E10543" w:rsidRDefault="00154B9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rPr>
      </w:pPr>
    </w:p>
    <w:p w14:paraId="3C126289" w14:textId="503ED684" w:rsidR="00286CA8" w:rsidRPr="00E10543" w:rsidRDefault="008C6A1F" w:rsidP="00E10543">
      <w:pPr>
        <w:pBdr>
          <w:top w:val="nil"/>
          <w:left w:val="nil"/>
          <w:bottom w:val="nil"/>
          <w:right w:val="nil"/>
          <w:between w:val="nil"/>
        </w:pBdr>
        <w:spacing w:line="276" w:lineRule="auto"/>
        <w:ind w:left="426"/>
        <w:jc w:val="both"/>
        <w:rPr>
          <w:rFonts w:ascii="Century Gothic" w:eastAsia="Bookman Old Style" w:hAnsi="Century Gothic" w:cs="Bookman Old Style"/>
          <w:bCs/>
          <w:sz w:val="20"/>
          <w:szCs w:val="20"/>
        </w:rPr>
      </w:pPr>
      <w:r w:rsidRPr="00E10543">
        <w:rPr>
          <w:rFonts w:ascii="Century Gothic" w:eastAsia="Bookman Old Style" w:hAnsi="Century Gothic" w:cs="Bookman Old Style"/>
          <w:sz w:val="20"/>
          <w:szCs w:val="20"/>
        </w:rPr>
        <w:t>El 8</w:t>
      </w:r>
      <w:r w:rsidR="00FC4582" w:rsidRPr="00E10543">
        <w:rPr>
          <w:rFonts w:ascii="Century Gothic" w:eastAsia="Bookman Old Style" w:hAnsi="Century Gothic" w:cs="Bookman Old Style"/>
          <w:sz w:val="20"/>
          <w:szCs w:val="20"/>
        </w:rPr>
        <w:t xml:space="preserve"> </w:t>
      </w:r>
      <w:r w:rsidR="003213C1" w:rsidRPr="00E10543">
        <w:rPr>
          <w:rFonts w:ascii="Century Gothic" w:eastAsia="Bookman Old Style" w:hAnsi="Century Gothic" w:cs="Bookman Old Style"/>
          <w:sz w:val="20"/>
          <w:szCs w:val="20"/>
        </w:rPr>
        <w:t xml:space="preserve">de agosto </w:t>
      </w:r>
      <w:r w:rsidRPr="00E10543">
        <w:rPr>
          <w:rFonts w:ascii="Century Gothic" w:eastAsia="Bookman Old Style" w:hAnsi="Century Gothic" w:cs="Bookman Old Style"/>
          <w:sz w:val="20"/>
          <w:szCs w:val="20"/>
        </w:rPr>
        <w:t>de 2023 la Mesa Directiva de la Comisión me designó como ponente única, en atención observaciones remitidas con relación al proyecto, se solicitó prorroga la cual fue concedida por 10 días más</w:t>
      </w:r>
      <w:r w:rsidRPr="00E10543">
        <w:rPr>
          <w:rFonts w:ascii="Century Gothic" w:eastAsia="Bookman Old Style" w:hAnsi="Century Gothic" w:cs="Bookman Old Style"/>
          <w:bCs/>
          <w:sz w:val="20"/>
          <w:szCs w:val="20"/>
        </w:rPr>
        <w:t xml:space="preserve">. </w:t>
      </w:r>
    </w:p>
    <w:p w14:paraId="439356F1" w14:textId="77777777" w:rsidR="00286CA8" w:rsidRPr="00E10543" w:rsidRDefault="00286CA8" w:rsidP="00E10543">
      <w:pPr>
        <w:pBdr>
          <w:top w:val="nil"/>
          <w:left w:val="nil"/>
          <w:bottom w:val="nil"/>
          <w:right w:val="nil"/>
          <w:between w:val="nil"/>
        </w:pBdr>
        <w:spacing w:line="276" w:lineRule="auto"/>
        <w:ind w:left="426"/>
        <w:jc w:val="both"/>
        <w:rPr>
          <w:rFonts w:ascii="Century Gothic" w:eastAsia="Bookman Old Style" w:hAnsi="Century Gothic" w:cs="Bookman Old Style"/>
          <w:bCs/>
          <w:sz w:val="20"/>
          <w:szCs w:val="20"/>
        </w:rPr>
      </w:pPr>
    </w:p>
    <w:p w14:paraId="07816FE0" w14:textId="49C3A481" w:rsidR="00756FAE" w:rsidRPr="00E10543" w:rsidRDefault="00EA2C95" w:rsidP="00E10543">
      <w:pPr>
        <w:pStyle w:val="Prrafodelista"/>
        <w:numPr>
          <w:ilvl w:val="0"/>
          <w:numId w:val="11"/>
        </w:numPr>
        <w:pBdr>
          <w:top w:val="nil"/>
          <w:left w:val="nil"/>
          <w:bottom w:val="nil"/>
          <w:right w:val="nil"/>
          <w:between w:val="nil"/>
        </w:pBdr>
        <w:spacing w:line="276" w:lineRule="auto"/>
        <w:ind w:left="426"/>
        <w:jc w:val="both"/>
        <w:rPr>
          <w:rFonts w:ascii="Century Gothic" w:eastAsia="Bookman Old Style" w:hAnsi="Century Gothic" w:cs="Bookman Old Style"/>
          <w:color w:val="000000"/>
          <w:sz w:val="20"/>
          <w:szCs w:val="20"/>
        </w:rPr>
      </w:pPr>
      <w:r w:rsidRPr="00E10543">
        <w:rPr>
          <w:rFonts w:ascii="Century Gothic" w:eastAsia="Bookman Old Style" w:hAnsi="Century Gothic" w:cs="Bookman Old Style"/>
          <w:b/>
          <w:color w:val="000000"/>
          <w:sz w:val="20"/>
          <w:szCs w:val="20"/>
        </w:rPr>
        <w:t>OBJETO</w:t>
      </w:r>
      <w:r w:rsidRPr="00E10543">
        <w:rPr>
          <w:rFonts w:ascii="Century Gothic" w:eastAsia="Bookman Old Style" w:hAnsi="Century Gothic" w:cs="Bookman Old Style"/>
          <w:color w:val="000000"/>
          <w:sz w:val="20"/>
          <w:szCs w:val="20"/>
        </w:rPr>
        <w:t>.</w:t>
      </w:r>
    </w:p>
    <w:p w14:paraId="15749811" w14:textId="026E870E" w:rsidR="00855D9C" w:rsidRPr="00E10543" w:rsidRDefault="008D2E81"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r w:rsidRPr="00E10543">
        <w:rPr>
          <w:rFonts w:ascii="Century Gothic" w:eastAsia="Bookman Old Style" w:hAnsi="Century Gothic" w:cs="Bookman Old Style"/>
          <w:sz w:val="20"/>
          <w:szCs w:val="20"/>
        </w:rPr>
        <w:t xml:space="preserve">La presente ley tiene por objeto </w:t>
      </w:r>
      <w:r w:rsidR="008C6A1F" w:rsidRPr="00E10543">
        <w:rPr>
          <w:rFonts w:ascii="Century Gothic" w:eastAsia="Bookman Old Style" w:hAnsi="Century Gothic" w:cs="Bookman Old Style"/>
          <w:sz w:val="20"/>
          <w:szCs w:val="20"/>
          <w:lang w:val="es"/>
        </w:rPr>
        <w:t>Reconocer e incorporar en el ordenamiento jurídico Colombiano la Violencia Vicaria como una violencia basada en género, lo que permitirá prevenirla, atenderla de forma integral y garantizar el acceso efectivo a la justicia, reparación, restauración y no repetición a las víctimas de este tipo de violencia en el marco de la protección a los Derechos Humanos</w:t>
      </w:r>
    </w:p>
    <w:p w14:paraId="653FCA13" w14:textId="1C416869" w:rsidR="00E50C2F" w:rsidRPr="00E10543" w:rsidRDefault="00E50C2F"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5E05C8A5" w14:textId="444A9203" w:rsidR="00E50C2F" w:rsidRPr="00E10543" w:rsidRDefault="00E50C2F" w:rsidP="00E10543">
      <w:pPr>
        <w:pStyle w:val="Prrafodelista"/>
        <w:numPr>
          <w:ilvl w:val="0"/>
          <w:numId w:val="11"/>
        </w:num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r w:rsidRPr="00E10543">
        <w:rPr>
          <w:rFonts w:ascii="Century Gothic" w:eastAsia="Bookman Old Style" w:hAnsi="Century Gothic" w:cs="Bookman Old Style"/>
          <w:b/>
          <w:sz w:val="20"/>
          <w:szCs w:val="20"/>
          <w:lang w:val="es"/>
        </w:rPr>
        <w:t xml:space="preserve">JUSTIFICACIÓN DEL PROYECTO DE LEY. </w:t>
      </w:r>
    </w:p>
    <w:p w14:paraId="7BD067DC" w14:textId="4EDC470A" w:rsidR="00CF7805" w:rsidRPr="00E10543" w:rsidRDefault="00CF780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75CA593F" w14:textId="77777777" w:rsidR="00D00D25" w:rsidRPr="00E10543" w:rsidRDefault="00CF780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rPr>
      </w:pPr>
      <w:r w:rsidRPr="00E10543">
        <w:rPr>
          <w:rFonts w:ascii="Century Gothic" w:eastAsia="Bookman Old Style" w:hAnsi="Century Gothic" w:cs="Bookman Old Style"/>
          <w:sz w:val="20"/>
          <w:szCs w:val="20"/>
        </w:rPr>
        <w:t>Las Recomendaciones del Comité para la Eliminación de la Discriminación contra la Mujer (CEDAW) especialmente la recomendación general N° 35 sobre la violencia por razón de género contra la mujer, la cual da alcance y complementa la recomendación 19, entre otros aspectos expresa que “violencia por razón de género contra la mujer” se utiliza como un término más preciso que pone de manifiesto las causas y los efectos relacionados con el género de la violencia. La expresión reconoce que las mujeres experimentan formas múltiples e interrelacionadas de discriminación</w:t>
      </w:r>
      <w:r w:rsidR="00D00D25" w:rsidRPr="00E10543">
        <w:rPr>
          <w:rFonts w:ascii="Century Gothic" w:eastAsia="Bookman Old Style" w:hAnsi="Century Gothic" w:cs="Bookman Old Style"/>
          <w:sz w:val="20"/>
          <w:szCs w:val="20"/>
        </w:rPr>
        <w:t xml:space="preserve"> y violencias</w:t>
      </w:r>
      <w:r w:rsidRPr="00E10543">
        <w:rPr>
          <w:rFonts w:ascii="Century Gothic" w:eastAsia="Bookman Old Style" w:hAnsi="Century Gothic" w:cs="Bookman Old Style"/>
          <w:sz w:val="20"/>
          <w:szCs w:val="20"/>
        </w:rPr>
        <w:t xml:space="preserve">, lo que afecta a algunas mujeres en distinta medida, o en distinta </w:t>
      </w:r>
      <w:r w:rsidR="00D00D25" w:rsidRPr="00E10543">
        <w:rPr>
          <w:rFonts w:ascii="Century Gothic" w:eastAsia="Bookman Old Style" w:hAnsi="Century Gothic" w:cs="Bookman Old Style"/>
          <w:sz w:val="20"/>
          <w:szCs w:val="20"/>
        </w:rPr>
        <w:t>forma, requiriéndose</w:t>
      </w:r>
      <w:r w:rsidRPr="00E10543">
        <w:rPr>
          <w:rFonts w:ascii="Century Gothic" w:eastAsia="Bookman Old Style" w:hAnsi="Century Gothic" w:cs="Bookman Old Style"/>
          <w:sz w:val="20"/>
          <w:szCs w:val="20"/>
        </w:rPr>
        <w:t xml:space="preserve"> </w:t>
      </w:r>
      <w:r w:rsidR="00D00D25" w:rsidRPr="00E10543">
        <w:rPr>
          <w:rFonts w:ascii="Century Gothic" w:eastAsia="Bookman Old Style" w:hAnsi="Century Gothic" w:cs="Bookman Old Style"/>
          <w:sz w:val="20"/>
          <w:szCs w:val="20"/>
        </w:rPr>
        <w:t xml:space="preserve">soluciones normativas adecuadas. </w:t>
      </w:r>
    </w:p>
    <w:p w14:paraId="130D5B45" w14:textId="77777777" w:rsidR="00D00D25" w:rsidRPr="00E10543" w:rsidRDefault="00D00D2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rPr>
      </w:pPr>
    </w:p>
    <w:p w14:paraId="220F16D5" w14:textId="77762C40" w:rsidR="00CF7805" w:rsidRPr="00E10543" w:rsidRDefault="00D00D2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rPr>
      </w:pPr>
      <w:r w:rsidRPr="00E10543">
        <w:rPr>
          <w:rFonts w:ascii="Century Gothic" w:eastAsia="Bookman Old Style" w:hAnsi="Century Gothic" w:cs="Bookman Old Style"/>
          <w:sz w:val="20"/>
          <w:szCs w:val="20"/>
        </w:rPr>
        <w:t>El o</w:t>
      </w:r>
      <w:r w:rsidR="00CF7805" w:rsidRPr="00E10543">
        <w:rPr>
          <w:rFonts w:ascii="Century Gothic" w:eastAsia="Bookman Old Style" w:hAnsi="Century Gothic" w:cs="Bookman Old Style"/>
          <w:sz w:val="20"/>
          <w:szCs w:val="20"/>
        </w:rPr>
        <w:t>bjetivo No. 5 de Desarrollo Sostenible - ODS, adoptado por la Organización de las</w:t>
      </w:r>
      <w:r w:rsidR="00E57707">
        <w:rPr>
          <w:rFonts w:ascii="Century Gothic" w:eastAsia="Bookman Old Style" w:hAnsi="Century Gothic" w:cs="Bookman Old Style"/>
          <w:sz w:val="20"/>
          <w:szCs w:val="20"/>
        </w:rPr>
        <w:t xml:space="preserve"> Naciones Unidas y </w:t>
      </w:r>
      <w:r w:rsidR="00E57707" w:rsidRPr="00E10543">
        <w:rPr>
          <w:rFonts w:ascii="Century Gothic" w:eastAsia="Bookman Old Style" w:hAnsi="Century Gothic" w:cs="Bookman Old Style"/>
          <w:sz w:val="20"/>
          <w:szCs w:val="20"/>
        </w:rPr>
        <w:t>Colombia</w:t>
      </w:r>
      <w:r w:rsidRPr="00E10543">
        <w:rPr>
          <w:rFonts w:ascii="Century Gothic" w:eastAsia="Bookman Old Style" w:hAnsi="Century Gothic" w:cs="Bookman Old Style"/>
          <w:sz w:val="20"/>
          <w:szCs w:val="20"/>
        </w:rPr>
        <w:t xml:space="preserve">, </w:t>
      </w:r>
      <w:r w:rsidR="00CF7805" w:rsidRPr="00E10543">
        <w:rPr>
          <w:rFonts w:ascii="Century Gothic" w:eastAsia="Bookman Old Style" w:hAnsi="Century Gothic" w:cs="Bookman Old Style"/>
          <w:sz w:val="20"/>
          <w:szCs w:val="20"/>
        </w:rPr>
        <w:t xml:space="preserve">se encamina a lograr la igualdad entre los géneros y empoderar a todas las mujeres y niñas. Este objetivo tiene entre sus metas a 2030: </w:t>
      </w:r>
      <w:r w:rsidRPr="00E10543">
        <w:rPr>
          <w:rFonts w:ascii="Century Gothic" w:eastAsia="Bookman Old Style" w:hAnsi="Century Gothic" w:cs="Bookman Old Style"/>
          <w:sz w:val="20"/>
          <w:szCs w:val="20"/>
        </w:rPr>
        <w:t>“5.2</w:t>
      </w:r>
      <w:r w:rsidR="00CF7805" w:rsidRPr="00E10543">
        <w:rPr>
          <w:rFonts w:ascii="Century Gothic" w:eastAsia="Bookman Old Style" w:hAnsi="Century Gothic" w:cs="Bookman Old Style"/>
          <w:sz w:val="20"/>
          <w:szCs w:val="20"/>
        </w:rPr>
        <w:t xml:space="preserve"> eliminar todas las formas de violencia contra todas las mujeres y las niñas en los ámbitos público y privado, incluidas la trata y la explotación sexual y o</w:t>
      </w:r>
      <w:r w:rsidRPr="00E10543">
        <w:rPr>
          <w:rFonts w:ascii="Century Gothic" w:eastAsia="Bookman Old Style" w:hAnsi="Century Gothic" w:cs="Bookman Old Style"/>
          <w:sz w:val="20"/>
          <w:szCs w:val="20"/>
        </w:rPr>
        <w:t xml:space="preserve">tros tipos de explotación […]”. </w:t>
      </w:r>
    </w:p>
    <w:p w14:paraId="37EBA566" w14:textId="77777777" w:rsidR="00CF7805" w:rsidRPr="00E10543" w:rsidRDefault="00CF780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rPr>
      </w:pPr>
      <w:r w:rsidRPr="00E10543">
        <w:rPr>
          <w:rFonts w:ascii="Century Gothic" w:eastAsia="Bookman Old Style" w:hAnsi="Century Gothic" w:cs="Bookman Old Style"/>
          <w:sz w:val="20"/>
          <w:szCs w:val="20"/>
        </w:rPr>
        <w:t> </w:t>
      </w:r>
    </w:p>
    <w:p w14:paraId="7B087B10" w14:textId="2F0F1C5C" w:rsidR="00132CB5" w:rsidRPr="00E10543" w:rsidRDefault="00132CB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rPr>
      </w:pPr>
      <w:r w:rsidRPr="00E10543">
        <w:rPr>
          <w:rFonts w:ascii="Century Gothic" w:eastAsia="Bookman Old Style" w:hAnsi="Century Gothic" w:cs="Bookman Old Style"/>
          <w:sz w:val="20"/>
          <w:szCs w:val="20"/>
        </w:rPr>
        <w:t xml:space="preserve">En cumplimiento de </w:t>
      </w:r>
      <w:r w:rsidR="00E57707">
        <w:rPr>
          <w:rFonts w:ascii="Century Gothic" w:eastAsia="Bookman Old Style" w:hAnsi="Century Gothic" w:cs="Bookman Old Style"/>
          <w:sz w:val="20"/>
          <w:szCs w:val="20"/>
        </w:rPr>
        <w:t>a las disposiciones</w:t>
      </w:r>
      <w:r w:rsidRPr="00E10543">
        <w:rPr>
          <w:rFonts w:ascii="Century Gothic" w:eastAsia="Bookman Old Style" w:hAnsi="Century Gothic" w:cs="Bookman Old Style"/>
          <w:sz w:val="20"/>
          <w:szCs w:val="20"/>
        </w:rPr>
        <w:t xml:space="preserve"> internacionales, Colombia ha venido avanzando en materia normativa e institucional para la prevención, sensibilización, atención y sanciones de conductas de violencia contra la mujer. El Congreso ha legislado en favor de las mujeres y haciendo casos a las estadísticas y hechos de la realidad colombiana. </w:t>
      </w:r>
    </w:p>
    <w:p w14:paraId="02AFB913" w14:textId="77777777" w:rsidR="00E50C2F" w:rsidRPr="00E10543" w:rsidRDefault="00E50C2F"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0E926D11" w14:textId="6FF6E220" w:rsidR="00E50C2F" w:rsidRPr="00E10543" w:rsidRDefault="00E50C2F"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r w:rsidRPr="00E10543">
        <w:rPr>
          <w:rFonts w:ascii="Century Gothic" w:eastAsia="Bookman Old Style" w:hAnsi="Century Gothic" w:cs="Bookman Old Style"/>
          <w:sz w:val="20"/>
          <w:szCs w:val="20"/>
          <w:lang w:val="es"/>
        </w:rPr>
        <w:t>La Ley 1257 de 2008,</w:t>
      </w:r>
      <w:r w:rsidRPr="00E10543">
        <w:rPr>
          <w:rStyle w:val="Refdenotaalpie"/>
          <w:rFonts w:ascii="Century Gothic" w:eastAsia="Bookman Old Style" w:hAnsi="Century Gothic" w:cs="Bookman Old Style"/>
          <w:sz w:val="20"/>
          <w:szCs w:val="20"/>
          <w:lang w:val="es"/>
        </w:rPr>
        <w:footnoteReference w:id="1"/>
      </w:r>
      <w:r w:rsidRPr="00E10543">
        <w:rPr>
          <w:rFonts w:ascii="Century Gothic" w:eastAsia="Bookman Old Style" w:hAnsi="Century Gothic" w:cs="Bookman Old Style"/>
          <w:sz w:val="20"/>
          <w:szCs w:val="20"/>
          <w:lang w:val="es"/>
        </w:rPr>
        <w:t xml:space="preserve"> sobre normas de sensibilización, prevención y sanción de formas de violencia y discriminación contra las mujeres establece que “</w:t>
      </w:r>
      <w:r w:rsidRPr="00E10543">
        <w:rPr>
          <w:rFonts w:ascii="Century Gothic" w:eastAsia="Bookman Old Style" w:hAnsi="Century Gothic" w:cs="Bookman Old Style"/>
          <w:i/>
          <w:sz w:val="20"/>
          <w:szCs w:val="20"/>
          <w:lang w:val="es"/>
        </w:rPr>
        <w:t xml:space="preserve">Por violencia contra la mujer se entiende cualquier acción u omisión, que le cause muerte, daño o sufrimiento físico, sexual, psicológico, económico o patrimonial por su condición de mujer, así </w:t>
      </w:r>
      <w:r w:rsidRPr="00E10543">
        <w:rPr>
          <w:rFonts w:ascii="Century Gothic" w:eastAsia="Bookman Old Style" w:hAnsi="Century Gothic" w:cs="Bookman Old Style"/>
          <w:i/>
          <w:sz w:val="20"/>
          <w:szCs w:val="20"/>
          <w:lang w:val="es"/>
        </w:rPr>
        <w:lastRenderedPageBreak/>
        <w:t>como las amenazas de tales actos, la coacción o la privación arbitraria de la libertad, bien sea que se presente en el ámbito público o en el privado”</w:t>
      </w:r>
      <w:r w:rsidRPr="00E10543">
        <w:rPr>
          <w:rFonts w:ascii="Century Gothic" w:eastAsia="Bookman Old Style" w:hAnsi="Century Gothic" w:cs="Bookman Old Style"/>
          <w:sz w:val="20"/>
          <w:szCs w:val="20"/>
          <w:lang w:val="es"/>
        </w:rPr>
        <w:t>.</w:t>
      </w:r>
    </w:p>
    <w:p w14:paraId="6D4DE201" w14:textId="27A0AC0A" w:rsidR="00E50C2F" w:rsidRPr="00E10543" w:rsidRDefault="00E50C2F"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59F4CE94" w14:textId="1C301AFE" w:rsidR="00E50C2F" w:rsidRPr="00E10543" w:rsidRDefault="00E75E3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r w:rsidRPr="00E10543">
        <w:rPr>
          <w:rFonts w:ascii="Century Gothic" w:eastAsia="Bookman Old Style" w:hAnsi="Century Gothic" w:cs="Bookman Old Style"/>
          <w:sz w:val="20"/>
          <w:szCs w:val="20"/>
          <w:lang w:val="es"/>
        </w:rPr>
        <w:t xml:space="preserve">Esta misma Ley, establece en su artículo 3, los tipos de daño a la que hace referencia dicha ley: </w:t>
      </w:r>
    </w:p>
    <w:p w14:paraId="7DCDBED7" w14:textId="2CAD0023" w:rsidR="00E75E35" w:rsidRPr="00E10543" w:rsidRDefault="00E75E3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082798AA" w14:textId="77777777" w:rsidR="00E75E35" w:rsidRPr="00E10543" w:rsidRDefault="00E75E35" w:rsidP="00EA6409">
      <w:pPr>
        <w:pStyle w:val="Prrafodelista"/>
        <w:numPr>
          <w:ilvl w:val="0"/>
          <w:numId w:val="18"/>
        </w:numPr>
        <w:pBdr>
          <w:top w:val="nil"/>
          <w:left w:val="nil"/>
          <w:bottom w:val="nil"/>
          <w:right w:val="nil"/>
          <w:between w:val="nil"/>
        </w:pBdr>
        <w:spacing w:line="276" w:lineRule="auto"/>
        <w:ind w:left="567" w:hanging="142"/>
        <w:jc w:val="both"/>
        <w:rPr>
          <w:rFonts w:ascii="Century Gothic" w:eastAsia="Bookman Old Style" w:hAnsi="Century Gothic" w:cs="Bookman Old Style"/>
          <w:sz w:val="20"/>
          <w:szCs w:val="20"/>
        </w:rPr>
      </w:pPr>
      <w:r w:rsidRPr="00E10543">
        <w:rPr>
          <w:rFonts w:ascii="Century Gothic" w:eastAsia="Bookman Old Style" w:hAnsi="Century Gothic" w:cs="Bookman Old Style"/>
          <w:b/>
          <w:sz w:val="20"/>
          <w:szCs w:val="20"/>
        </w:rPr>
        <w:t>Daño psicológico</w:t>
      </w:r>
      <w:r w:rsidRPr="00E10543">
        <w:rPr>
          <w:rFonts w:ascii="Century Gothic" w:eastAsia="Bookman Old Style" w:hAnsi="Century Gothic" w:cs="Bookman Old Style"/>
          <w:sz w:val="20"/>
          <w:szCs w:val="20"/>
        </w:rPr>
        <w:t>: Consecuencia proveniente de la acción u omisión destinada a degradar o controlar las acciones, comportamientos, creencias y decisiones de otras personas, por medio de intimidación, manipulación, amenaza, directa o indirecta, humillación, aislamiento o cualquier otra conducta que implique un perjuicio en la salud psicológica, la autodeterminación o el desarrollo personal.</w:t>
      </w:r>
    </w:p>
    <w:p w14:paraId="77C22716" w14:textId="77777777" w:rsidR="00E75E35" w:rsidRPr="00E10543" w:rsidRDefault="00E75E35" w:rsidP="00EA6409">
      <w:pPr>
        <w:pStyle w:val="Prrafodelista"/>
        <w:numPr>
          <w:ilvl w:val="0"/>
          <w:numId w:val="18"/>
        </w:numPr>
        <w:pBdr>
          <w:top w:val="nil"/>
          <w:left w:val="nil"/>
          <w:bottom w:val="nil"/>
          <w:right w:val="nil"/>
          <w:between w:val="nil"/>
        </w:pBdr>
        <w:spacing w:line="276" w:lineRule="auto"/>
        <w:ind w:left="567" w:hanging="142"/>
        <w:jc w:val="both"/>
        <w:rPr>
          <w:rFonts w:ascii="Century Gothic" w:eastAsia="Bookman Old Style" w:hAnsi="Century Gothic" w:cs="Bookman Old Style"/>
          <w:sz w:val="20"/>
          <w:szCs w:val="20"/>
          <w:lang w:val="es-CO"/>
        </w:rPr>
      </w:pPr>
      <w:r w:rsidRPr="00E10543">
        <w:rPr>
          <w:rFonts w:ascii="Century Gothic" w:eastAsia="Bookman Old Style" w:hAnsi="Century Gothic" w:cs="Bookman Old Style"/>
          <w:b/>
          <w:sz w:val="20"/>
          <w:szCs w:val="20"/>
          <w:lang w:val="es-CO"/>
        </w:rPr>
        <w:t>Daño o sufrimiento físico:</w:t>
      </w:r>
      <w:r w:rsidRPr="00E10543">
        <w:rPr>
          <w:rFonts w:ascii="Century Gothic" w:eastAsia="Bookman Old Style" w:hAnsi="Century Gothic" w:cs="Bookman Old Style"/>
          <w:sz w:val="20"/>
          <w:szCs w:val="20"/>
          <w:lang w:val="es-CO"/>
        </w:rPr>
        <w:t xml:space="preserve"> Riesgo o disminución de la integridad corporal de una persona. </w:t>
      </w:r>
    </w:p>
    <w:p w14:paraId="6A0C7ADE" w14:textId="3F01C3A7" w:rsidR="00E75E35" w:rsidRPr="00E10543" w:rsidRDefault="00E75E35" w:rsidP="00EA6409">
      <w:pPr>
        <w:pStyle w:val="Prrafodelista"/>
        <w:numPr>
          <w:ilvl w:val="0"/>
          <w:numId w:val="18"/>
        </w:numPr>
        <w:pBdr>
          <w:top w:val="nil"/>
          <w:left w:val="nil"/>
          <w:bottom w:val="nil"/>
          <w:right w:val="nil"/>
          <w:between w:val="nil"/>
        </w:pBdr>
        <w:spacing w:line="276" w:lineRule="auto"/>
        <w:ind w:left="567" w:hanging="142"/>
        <w:jc w:val="both"/>
        <w:rPr>
          <w:rFonts w:ascii="Century Gothic" w:eastAsia="Bookman Old Style" w:hAnsi="Century Gothic" w:cs="Bookman Old Style"/>
          <w:sz w:val="20"/>
          <w:szCs w:val="20"/>
          <w:lang w:val="es-CO"/>
        </w:rPr>
      </w:pPr>
      <w:r w:rsidRPr="00E10543">
        <w:rPr>
          <w:rFonts w:ascii="Century Gothic" w:eastAsia="Bookman Old Style" w:hAnsi="Century Gothic" w:cs="Bookman Old Style"/>
          <w:b/>
          <w:sz w:val="20"/>
          <w:szCs w:val="20"/>
          <w:lang w:val="es-CO"/>
        </w:rPr>
        <w:t>Daño o sufrimiento sexual:</w:t>
      </w:r>
      <w:r w:rsidRPr="00E10543">
        <w:rPr>
          <w:rFonts w:ascii="Century Gothic" w:eastAsia="Bookman Old Style" w:hAnsi="Century Gothic" w:cs="Bookman Old Style"/>
          <w:sz w:val="20"/>
          <w:szCs w:val="20"/>
          <w:lang w:val="es-CO"/>
        </w:rPr>
        <w:t xml:space="preserve"> Consecuencias que provienen de la acción consistente en obligar a una persona a mantener contacto sexualizado, físico o verbal, o a participar en otras interacciones sexuales mediante el uso de fuerza, intimidación, coerción, chantaje, soborno, manipulación, amenaza o cualquier otro mecanismo que anule o limite la voluntad personal. Igualmente, se considerará daño o sufrimiento sexual el hecho de que la persona agresora obligue a la agredida a realizar alguno de estos actos con terceras personas.</w:t>
      </w:r>
    </w:p>
    <w:p w14:paraId="0A0CB1A4" w14:textId="38B22004" w:rsidR="00E75E35" w:rsidRPr="00E10543" w:rsidRDefault="00E75E35" w:rsidP="00EA6409">
      <w:pPr>
        <w:pStyle w:val="Prrafodelista"/>
        <w:numPr>
          <w:ilvl w:val="0"/>
          <w:numId w:val="18"/>
        </w:numPr>
        <w:pBdr>
          <w:top w:val="nil"/>
          <w:left w:val="nil"/>
          <w:bottom w:val="nil"/>
          <w:right w:val="nil"/>
          <w:between w:val="nil"/>
        </w:pBdr>
        <w:spacing w:line="276" w:lineRule="auto"/>
        <w:ind w:left="567" w:hanging="142"/>
        <w:jc w:val="both"/>
        <w:rPr>
          <w:rFonts w:ascii="Century Gothic" w:eastAsia="Bookman Old Style" w:hAnsi="Century Gothic" w:cs="Bookman Old Style"/>
          <w:sz w:val="20"/>
          <w:szCs w:val="20"/>
          <w:lang w:val="es-CO"/>
        </w:rPr>
      </w:pPr>
      <w:r w:rsidRPr="00E10543">
        <w:rPr>
          <w:rFonts w:ascii="Century Gothic" w:eastAsia="Bookman Old Style" w:hAnsi="Century Gothic" w:cs="Bookman Old Style"/>
          <w:b/>
          <w:sz w:val="20"/>
          <w:szCs w:val="20"/>
          <w:lang w:val="es-CO"/>
        </w:rPr>
        <w:t>Daño patrimonial:</w:t>
      </w:r>
      <w:r w:rsidRPr="00E10543">
        <w:rPr>
          <w:rFonts w:ascii="Century Gothic" w:eastAsia="Bookman Old Style" w:hAnsi="Century Gothic" w:cs="Bookman Old Style"/>
          <w:sz w:val="20"/>
          <w:szCs w:val="20"/>
          <w:lang w:val="es-CO"/>
        </w:rPr>
        <w:t xml:space="preserve"> Pérdida, transformación, sustracción, destrucción, retención o distracción de objetos, instrumentos de trabajo, documentos personales, bienes, valores, derechos o económicos destinados a satisfacer las necesidades de la mujer.</w:t>
      </w:r>
    </w:p>
    <w:p w14:paraId="2483140B" w14:textId="4137FCC6" w:rsidR="00E75E35" w:rsidRPr="00E10543" w:rsidRDefault="00E75E3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rPr>
      </w:pPr>
    </w:p>
    <w:p w14:paraId="2551E709" w14:textId="488F4990" w:rsidR="00E50C2F" w:rsidRPr="00E10543"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rPr>
      </w:pPr>
      <w:r>
        <w:rPr>
          <w:rFonts w:ascii="Century Gothic" w:eastAsia="Bookman Old Style" w:hAnsi="Century Gothic" w:cs="Bookman Old Style"/>
          <w:sz w:val="20"/>
          <w:szCs w:val="20"/>
        </w:rPr>
        <w:t>A partir de la promulgación de la Ley 1257 2008</w:t>
      </w:r>
      <w:r w:rsidR="00E75E35" w:rsidRPr="00E10543">
        <w:rPr>
          <w:rFonts w:ascii="Century Gothic" w:eastAsia="Bookman Old Style" w:hAnsi="Century Gothic" w:cs="Bookman Old Style"/>
          <w:sz w:val="20"/>
          <w:szCs w:val="20"/>
        </w:rPr>
        <w:t xml:space="preserve">, Colombia ha venido avanzando en la sensibilización de la violencia de género y especialmente aquella dirigida a la mujer. </w:t>
      </w:r>
      <w:r>
        <w:rPr>
          <w:rFonts w:ascii="Century Gothic" w:eastAsia="Bookman Old Style" w:hAnsi="Century Gothic" w:cs="Bookman Old Style"/>
          <w:sz w:val="20"/>
          <w:szCs w:val="20"/>
        </w:rPr>
        <w:t>Los hechos lamentables que han</w:t>
      </w:r>
      <w:r w:rsidR="00E75E35" w:rsidRPr="00E10543">
        <w:rPr>
          <w:rFonts w:ascii="Century Gothic" w:eastAsia="Bookman Old Style" w:hAnsi="Century Gothic" w:cs="Bookman Old Style"/>
          <w:sz w:val="20"/>
          <w:szCs w:val="20"/>
        </w:rPr>
        <w:t xml:space="preserve"> ocurridos </w:t>
      </w:r>
      <w:r>
        <w:rPr>
          <w:rFonts w:ascii="Century Gothic" w:eastAsia="Bookman Old Style" w:hAnsi="Century Gothic" w:cs="Bookman Old Style"/>
          <w:sz w:val="20"/>
          <w:szCs w:val="20"/>
        </w:rPr>
        <w:t xml:space="preserve">en </w:t>
      </w:r>
      <w:r w:rsidR="00E75E35" w:rsidRPr="00E10543">
        <w:rPr>
          <w:rFonts w:ascii="Century Gothic" w:eastAsia="Bookman Old Style" w:hAnsi="Century Gothic" w:cs="Bookman Old Style"/>
          <w:sz w:val="20"/>
          <w:szCs w:val="20"/>
        </w:rPr>
        <w:t>los últimos años</w:t>
      </w:r>
      <w:r>
        <w:rPr>
          <w:rFonts w:ascii="Century Gothic" w:eastAsia="Bookman Old Style" w:hAnsi="Century Gothic" w:cs="Bookman Old Style"/>
          <w:sz w:val="20"/>
          <w:szCs w:val="20"/>
        </w:rPr>
        <w:t xml:space="preserve">, generó que </w:t>
      </w:r>
      <w:r w:rsidRPr="00E10543">
        <w:rPr>
          <w:rFonts w:ascii="Century Gothic" w:eastAsia="Bookman Old Style" w:hAnsi="Century Gothic" w:cs="Bookman Old Style"/>
          <w:sz w:val="20"/>
          <w:szCs w:val="20"/>
        </w:rPr>
        <w:t>el</w:t>
      </w:r>
      <w:r w:rsidR="00E75E35" w:rsidRPr="00E10543">
        <w:rPr>
          <w:rFonts w:ascii="Century Gothic" w:eastAsia="Bookman Old Style" w:hAnsi="Century Gothic" w:cs="Bookman Old Style"/>
          <w:sz w:val="20"/>
          <w:szCs w:val="20"/>
        </w:rPr>
        <w:t xml:space="preserve"> Congreso de la Rep</w:t>
      </w:r>
      <w:r w:rsidR="00CF7805" w:rsidRPr="00E10543">
        <w:rPr>
          <w:rFonts w:ascii="Century Gothic" w:eastAsia="Bookman Old Style" w:hAnsi="Century Gothic" w:cs="Bookman Old Style"/>
          <w:sz w:val="20"/>
          <w:szCs w:val="20"/>
        </w:rPr>
        <w:t>ública tome acciones, mediante la promulgación de nuevas leyes que permitan medidas de prevención, sensibilización, atención, sanción y seguimiento con respecto a la violencia ejercida contra las mujeres, ejemplo de ello es la Ley 1761 de 2015, “</w:t>
      </w:r>
      <w:r w:rsidR="00CF7805" w:rsidRPr="00E10543">
        <w:rPr>
          <w:rFonts w:ascii="Century Gothic" w:hAnsi="Century Gothic" w:cs="Open Sans"/>
          <w:sz w:val="20"/>
          <w:szCs w:val="20"/>
        </w:rPr>
        <w:t xml:space="preserve">Por la cual se crea el tipo penal de feminicidio como delito autónomo y se dictan otras disposiciones”. Mejor conocida como la Ley Rosa Elvira Cely. </w:t>
      </w:r>
    </w:p>
    <w:p w14:paraId="0CF217F7" w14:textId="3B264A47" w:rsidR="00CF7805" w:rsidRPr="00E10543" w:rsidRDefault="00CF780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rPr>
      </w:pPr>
    </w:p>
    <w:p w14:paraId="46FC6BD8" w14:textId="65A2219E" w:rsidR="00CF7805" w:rsidRPr="00E10543" w:rsidRDefault="00132CB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rPr>
      </w:pPr>
      <w:r w:rsidRPr="00E10543">
        <w:rPr>
          <w:rFonts w:ascii="Century Gothic" w:eastAsia="Bookman Old Style" w:hAnsi="Century Gothic" w:cs="Bookman Old Style"/>
          <w:sz w:val="20"/>
          <w:szCs w:val="20"/>
        </w:rPr>
        <w:t xml:space="preserve">Sin embargo, pese a los esfuerzos </w:t>
      </w:r>
      <w:r w:rsidR="004E76F4" w:rsidRPr="00E10543">
        <w:rPr>
          <w:rFonts w:ascii="Century Gothic" w:eastAsia="Bookman Old Style" w:hAnsi="Century Gothic" w:cs="Bookman Old Style"/>
          <w:sz w:val="20"/>
          <w:szCs w:val="20"/>
        </w:rPr>
        <w:t>legislativos</w:t>
      </w:r>
      <w:r w:rsidRPr="00E10543">
        <w:rPr>
          <w:rFonts w:ascii="Century Gothic" w:eastAsia="Bookman Old Style" w:hAnsi="Century Gothic" w:cs="Bookman Old Style"/>
          <w:sz w:val="20"/>
          <w:szCs w:val="20"/>
        </w:rPr>
        <w:t xml:space="preserve">, la violencia contra la mujer no da tregua. Para ello basta ver las cifras de Medicina Legal, </w:t>
      </w:r>
      <w:r w:rsidR="004E76F4" w:rsidRPr="00E10543">
        <w:rPr>
          <w:rFonts w:ascii="Century Gothic" w:eastAsia="Bookman Old Style" w:hAnsi="Century Gothic" w:cs="Bookman Old Style"/>
          <w:sz w:val="20"/>
          <w:szCs w:val="20"/>
        </w:rPr>
        <w:t>las muertes violentas registradas en el 2022 por homicidio fueron</w:t>
      </w:r>
      <w:r w:rsidR="00E57707">
        <w:rPr>
          <w:rFonts w:ascii="Century Gothic" w:eastAsia="Bookman Old Style" w:hAnsi="Century Gothic" w:cs="Bookman Old Style"/>
          <w:sz w:val="20"/>
          <w:szCs w:val="20"/>
        </w:rPr>
        <w:t xml:space="preserve"> de 587, </w:t>
      </w:r>
      <w:r w:rsidRPr="00E10543">
        <w:rPr>
          <w:rFonts w:ascii="Century Gothic" w:eastAsia="Bookman Old Style" w:hAnsi="Century Gothic" w:cs="Bookman Old Style"/>
          <w:sz w:val="20"/>
          <w:szCs w:val="20"/>
        </w:rPr>
        <w:t>y este año</w:t>
      </w:r>
      <w:r w:rsidR="00E57707" w:rsidRPr="00E57707">
        <w:rPr>
          <w:rFonts w:ascii="Century Gothic" w:eastAsia="Bookman Old Style" w:hAnsi="Century Gothic" w:cs="Bookman Old Style"/>
          <w:sz w:val="20"/>
          <w:szCs w:val="20"/>
        </w:rPr>
        <w:t xml:space="preserve"> </w:t>
      </w:r>
      <w:r w:rsidR="00E57707" w:rsidRPr="00E10543">
        <w:rPr>
          <w:rFonts w:ascii="Century Gothic" w:eastAsia="Bookman Old Style" w:hAnsi="Century Gothic" w:cs="Bookman Old Style"/>
          <w:sz w:val="20"/>
          <w:szCs w:val="20"/>
        </w:rPr>
        <w:t>a julio de 2023</w:t>
      </w:r>
      <w:r w:rsidRPr="00E10543">
        <w:rPr>
          <w:rFonts w:ascii="Century Gothic" w:eastAsia="Bookman Old Style" w:hAnsi="Century Gothic" w:cs="Bookman Old Style"/>
          <w:sz w:val="20"/>
          <w:szCs w:val="20"/>
        </w:rPr>
        <w:t xml:space="preserve">, según informa el último boletín publicado de esta entidad, existe un total de 558 casos de homicidio contra mujeres, lo que nos hace concluir que este fenómeno viene en aumento. </w:t>
      </w:r>
    </w:p>
    <w:p w14:paraId="56B57A28" w14:textId="6C2EF4C3" w:rsidR="00132CB5" w:rsidRPr="00E10543" w:rsidRDefault="00132CB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rPr>
      </w:pPr>
      <w:r w:rsidRPr="00E10543">
        <w:rPr>
          <w:rFonts w:ascii="Century Gothic" w:eastAsia="Bookman Old Style" w:hAnsi="Century Gothic" w:cs="Bookman Old Style"/>
          <w:noProof/>
          <w:sz w:val="20"/>
          <w:szCs w:val="20"/>
          <w:lang w:eastAsia="es-CO"/>
        </w:rPr>
        <w:lastRenderedPageBreak/>
        <w:drawing>
          <wp:anchor distT="0" distB="0" distL="114300" distR="114300" simplePos="0" relativeHeight="251658240" behindDoc="1" locked="0" layoutInCell="1" allowOverlap="1" wp14:anchorId="1FA65E14" wp14:editId="0D88C088">
            <wp:simplePos x="0" y="0"/>
            <wp:positionH relativeFrom="column">
              <wp:posOffset>274212</wp:posOffset>
            </wp:positionH>
            <wp:positionV relativeFrom="paragraph">
              <wp:posOffset>-323</wp:posOffset>
            </wp:positionV>
            <wp:extent cx="4770408" cy="2656704"/>
            <wp:effectExtent l="0" t="0" r="0" b="0"/>
            <wp:wrapTight wrapText="bothSides">
              <wp:wrapPolygon edited="0">
                <wp:start x="0" y="0"/>
                <wp:lineTo x="0" y="21378"/>
                <wp:lineTo x="21479" y="21378"/>
                <wp:lineTo x="2147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70408" cy="2656704"/>
                    </a:xfrm>
                    <a:prstGeom prst="rect">
                      <a:avLst/>
                    </a:prstGeom>
                    <a:effectLst>
                      <a:softEdge rad="12700"/>
                    </a:effectLst>
                  </pic:spPr>
                </pic:pic>
              </a:graphicData>
            </a:graphic>
          </wp:anchor>
        </w:drawing>
      </w:r>
      <w:r w:rsidRPr="00E10543">
        <w:rPr>
          <w:rStyle w:val="Refdenotaalpie"/>
          <w:rFonts w:ascii="Century Gothic" w:eastAsia="Bookman Old Style" w:hAnsi="Century Gothic" w:cs="Bookman Old Style"/>
          <w:sz w:val="20"/>
          <w:szCs w:val="20"/>
        </w:rPr>
        <w:footnoteReference w:id="2"/>
      </w:r>
    </w:p>
    <w:p w14:paraId="091AD3C8"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52F37CEF"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7E45F556"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2C8E53AE"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7436019A"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7740A88B"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4A3C1877"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4AD28D10"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66A16523"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3E8F95AE"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2FA62F57"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5D607BFD"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0B4E4745"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3AE1B80B"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25D1CBC6"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2EEE4353" w14:textId="5777B118" w:rsidR="00E50C2F" w:rsidRDefault="00132CB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r w:rsidRPr="00E10543">
        <w:rPr>
          <w:rFonts w:ascii="Century Gothic" w:eastAsia="Bookman Old Style" w:hAnsi="Century Gothic" w:cs="Bookman Old Style"/>
          <w:sz w:val="20"/>
          <w:szCs w:val="20"/>
          <w:lang w:val="es"/>
        </w:rPr>
        <w:t xml:space="preserve">Con respecto a la violencia intrafamiliar e interpersonal, el panorama es más desfavorecedor. Para el año 2022 se registraron 26.994 mujeres agredidas por violencia intrafamiliar, en comparación a 28.061 en lo que va corrido del año a julio de 2023. En cuanto a la violencia </w:t>
      </w:r>
      <w:r w:rsidR="008B7256" w:rsidRPr="00E10543">
        <w:rPr>
          <w:rFonts w:ascii="Century Gothic" w:eastAsia="Bookman Old Style" w:hAnsi="Century Gothic" w:cs="Bookman Old Style"/>
          <w:sz w:val="20"/>
          <w:szCs w:val="20"/>
          <w:lang w:val="es"/>
        </w:rPr>
        <w:t>interpersonal</w:t>
      </w:r>
      <w:r w:rsidRPr="00E10543">
        <w:rPr>
          <w:rFonts w:ascii="Century Gothic" w:eastAsia="Bookman Old Style" w:hAnsi="Century Gothic" w:cs="Bookman Old Style"/>
          <w:sz w:val="20"/>
          <w:szCs w:val="20"/>
          <w:lang w:val="es"/>
        </w:rPr>
        <w:t xml:space="preserve">, 15.959 mujeres fueron agredidas y este año hay un registro de 17.111, ello sin contar aquellas denuncias que se no pueden ser registrados por el sistema debido a </w:t>
      </w:r>
      <w:r w:rsidR="008B7256" w:rsidRPr="00E10543">
        <w:rPr>
          <w:rFonts w:ascii="Century Gothic" w:eastAsia="Bookman Old Style" w:hAnsi="Century Gothic" w:cs="Bookman Old Style"/>
          <w:sz w:val="20"/>
          <w:szCs w:val="20"/>
          <w:lang w:val="es"/>
        </w:rPr>
        <w:t>múltiples</w:t>
      </w:r>
      <w:r w:rsidRPr="00E10543">
        <w:rPr>
          <w:rFonts w:ascii="Century Gothic" w:eastAsia="Bookman Old Style" w:hAnsi="Century Gothic" w:cs="Bookman Old Style"/>
          <w:sz w:val="20"/>
          <w:szCs w:val="20"/>
          <w:lang w:val="es"/>
        </w:rPr>
        <w:t xml:space="preserve"> causas, entre ellas la falta de denuncia por temor a represalias de su pareja o ex pareja </w:t>
      </w:r>
      <w:r w:rsidR="008B7256" w:rsidRPr="00E10543">
        <w:rPr>
          <w:rFonts w:ascii="Century Gothic" w:eastAsia="Bookman Old Style" w:hAnsi="Century Gothic" w:cs="Bookman Old Style"/>
          <w:sz w:val="20"/>
          <w:szCs w:val="20"/>
          <w:lang w:val="es"/>
        </w:rPr>
        <w:t>sentimental</w:t>
      </w:r>
      <w:r w:rsidRPr="00E10543">
        <w:rPr>
          <w:rFonts w:ascii="Century Gothic" w:eastAsia="Bookman Old Style" w:hAnsi="Century Gothic" w:cs="Bookman Old Style"/>
          <w:sz w:val="20"/>
          <w:szCs w:val="20"/>
          <w:lang w:val="es"/>
        </w:rPr>
        <w:t xml:space="preserve">. </w:t>
      </w:r>
    </w:p>
    <w:p w14:paraId="39D9461B" w14:textId="4FB5110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705B1720" w14:textId="37C10F22"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2398DDCC" w14:textId="65B1112B" w:rsidR="00E57707" w:rsidRPr="00E10543"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r w:rsidRPr="00E57707">
        <w:rPr>
          <w:rFonts w:ascii="Century Gothic" w:eastAsia="Bookman Old Style" w:hAnsi="Century Gothic" w:cs="Bookman Old Style"/>
          <w:noProof/>
          <w:sz w:val="20"/>
          <w:szCs w:val="20"/>
          <w:lang w:eastAsia="es-CO"/>
        </w:rPr>
        <w:drawing>
          <wp:inline distT="0" distB="0" distL="0" distR="0" wp14:anchorId="54EC85A6" wp14:editId="15DDB0A5">
            <wp:extent cx="5405412" cy="2725947"/>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2695" cy="2729620"/>
                    </a:xfrm>
                    <a:prstGeom prst="rect">
                      <a:avLst/>
                    </a:prstGeom>
                  </pic:spPr>
                </pic:pic>
              </a:graphicData>
            </a:graphic>
          </wp:inline>
        </w:drawing>
      </w:r>
    </w:p>
    <w:p w14:paraId="75DCAC56" w14:textId="066E6D61" w:rsidR="00132CB5" w:rsidRPr="00E10543" w:rsidRDefault="00132CB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5566E84C" w14:textId="40AE7940" w:rsidR="00132CB5" w:rsidRPr="00E10543" w:rsidRDefault="00132CB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r w:rsidRPr="00E10543">
        <w:rPr>
          <w:rFonts w:ascii="Century Gothic" w:eastAsia="Bookman Old Style" w:hAnsi="Century Gothic" w:cs="Bookman Old Style"/>
          <w:sz w:val="20"/>
          <w:szCs w:val="20"/>
          <w:lang w:val="es"/>
        </w:rPr>
        <w:t>Los anteriores datos son de gran importancia porque la violencia co</w:t>
      </w:r>
      <w:r w:rsidR="00E57707">
        <w:rPr>
          <w:rFonts w:ascii="Century Gothic" w:eastAsia="Bookman Old Style" w:hAnsi="Century Gothic" w:cs="Bookman Old Style"/>
          <w:sz w:val="20"/>
          <w:szCs w:val="20"/>
          <w:lang w:val="es"/>
        </w:rPr>
        <w:t xml:space="preserve">ntra la mujer viene en aumento. Adicional es importante resaltar que las violencias </w:t>
      </w:r>
      <w:r w:rsidR="00E57707" w:rsidRPr="00E10543">
        <w:rPr>
          <w:rFonts w:ascii="Century Gothic" w:eastAsia="Bookman Old Style" w:hAnsi="Century Gothic" w:cs="Bookman Old Style"/>
          <w:sz w:val="20"/>
          <w:szCs w:val="20"/>
          <w:lang w:val="es"/>
        </w:rPr>
        <w:t>van</w:t>
      </w:r>
      <w:r w:rsidRPr="00E10543">
        <w:rPr>
          <w:rFonts w:ascii="Century Gothic" w:eastAsia="Bookman Old Style" w:hAnsi="Century Gothic" w:cs="Bookman Old Style"/>
          <w:sz w:val="20"/>
          <w:szCs w:val="20"/>
          <w:lang w:val="es"/>
        </w:rPr>
        <w:t xml:space="preserve"> evolucionando, por lo que el Congreso de la República no puede ser ajeno a </w:t>
      </w:r>
      <w:r w:rsidR="008B7256" w:rsidRPr="00E10543">
        <w:rPr>
          <w:rFonts w:ascii="Century Gothic" w:eastAsia="Bookman Old Style" w:hAnsi="Century Gothic" w:cs="Bookman Old Style"/>
          <w:sz w:val="20"/>
          <w:szCs w:val="20"/>
          <w:lang w:val="es"/>
        </w:rPr>
        <w:t>las realidades</w:t>
      </w:r>
      <w:r w:rsidRPr="00E10543">
        <w:rPr>
          <w:rFonts w:ascii="Century Gothic" w:eastAsia="Bookman Old Style" w:hAnsi="Century Gothic" w:cs="Bookman Old Style"/>
          <w:sz w:val="20"/>
          <w:szCs w:val="20"/>
          <w:lang w:val="es"/>
        </w:rPr>
        <w:t xml:space="preserve"> y debe buscar los medios para asegurar el derecho fundamental a la vida sin violencia de todas las mujeres en el territorio colombiano. </w:t>
      </w:r>
    </w:p>
    <w:p w14:paraId="4E95B893" w14:textId="77777777" w:rsidR="00E57707" w:rsidRDefault="008B7256"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r w:rsidRPr="00E10543">
        <w:rPr>
          <w:rFonts w:ascii="Century Gothic" w:eastAsia="Bookman Old Style" w:hAnsi="Century Gothic" w:cs="Bookman Old Style"/>
          <w:sz w:val="20"/>
          <w:szCs w:val="20"/>
          <w:lang w:val="es"/>
        </w:rPr>
        <w:br/>
        <w:t>Es por ello que se hace necesario empezar a legislar sobre una especie de violencia contra la mujer</w:t>
      </w:r>
      <w:r w:rsidRPr="00E10543">
        <w:rPr>
          <w:rFonts w:ascii="Century Gothic" w:eastAsia="Bookman Old Style" w:hAnsi="Century Gothic" w:cs="Bookman Old Style"/>
          <w:b/>
          <w:sz w:val="20"/>
          <w:szCs w:val="20"/>
          <w:lang w:val="es"/>
        </w:rPr>
        <w:t>, la violencia vicaria</w:t>
      </w:r>
      <w:r w:rsidRPr="00E10543">
        <w:rPr>
          <w:rFonts w:ascii="Century Gothic" w:eastAsia="Bookman Old Style" w:hAnsi="Century Gothic" w:cs="Bookman Old Style"/>
          <w:sz w:val="20"/>
          <w:szCs w:val="20"/>
          <w:lang w:val="es"/>
        </w:rPr>
        <w:t xml:space="preserve">, entendida como aquella que  “(…) tiene como objetivo dañar a la mujer a través de sus seres queridos y especialmente de sus hijas e hijos (...) El objetivo es el control y el dominio sobre la mujer, en un alarde máximo de </w:t>
      </w:r>
      <w:r w:rsidRPr="00E10543">
        <w:rPr>
          <w:rFonts w:ascii="Century Gothic" w:eastAsia="Bookman Old Style" w:hAnsi="Century Gothic" w:cs="Bookman Old Style"/>
          <w:sz w:val="20"/>
          <w:szCs w:val="20"/>
          <w:lang w:val="es"/>
        </w:rPr>
        <w:lastRenderedPageBreak/>
        <w:t>posesión en una relación de poder que se sustenta en la desigualdad</w:t>
      </w:r>
      <w:r w:rsidRPr="00E10543">
        <w:rPr>
          <w:rFonts w:ascii="Century Gothic" w:eastAsia="Bookman Old Style" w:hAnsi="Century Gothic" w:cs="Bookman Old Style"/>
          <w:i/>
          <w:sz w:val="20"/>
          <w:szCs w:val="20"/>
          <w:lang w:val="es"/>
        </w:rPr>
        <w:t>.”</w:t>
      </w:r>
      <w:r w:rsidRPr="00E10543">
        <w:rPr>
          <w:rStyle w:val="Refdenotaalpie"/>
          <w:rFonts w:ascii="Century Gothic" w:eastAsia="Bookman Old Style" w:hAnsi="Century Gothic" w:cs="Bookman Old Style"/>
          <w:i/>
          <w:sz w:val="20"/>
          <w:szCs w:val="20"/>
          <w:lang w:val="es"/>
        </w:rPr>
        <w:footnoteReference w:id="3"/>
      </w:r>
      <w:r w:rsidR="00852CF3" w:rsidRPr="00E10543">
        <w:rPr>
          <w:rFonts w:ascii="Century Gothic" w:eastAsia="Bookman Old Style" w:hAnsi="Century Gothic" w:cs="Bookman Old Style"/>
          <w:i/>
          <w:sz w:val="20"/>
          <w:szCs w:val="20"/>
          <w:lang w:val="es"/>
        </w:rPr>
        <w:t xml:space="preserve"> </w:t>
      </w:r>
      <w:r w:rsidR="00852CF3" w:rsidRPr="00E10543">
        <w:rPr>
          <w:rFonts w:ascii="Century Gothic" w:eastAsia="Bookman Old Style" w:hAnsi="Century Gothic" w:cs="Bookman Old Style"/>
          <w:sz w:val="20"/>
          <w:szCs w:val="20"/>
          <w:lang w:val="es"/>
        </w:rPr>
        <w:t xml:space="preserve">  Sin embargo algunos expositores del teman, han encontrado que la</w:t>
      </w:r>
      <w:r w:rsidR="00E57707">
        <w:rPr>
          <w:rFonts w:ascii="Century Gothic" w:eastAsia="Bookman Old Style" w:hAnsi="Century Gothic" w:cs="Bookman Old Style"/>
          <w:sz w:val="20"/>
          <w:szCs w:val="20"/>
          <w:lang w:val="es"/>
        </w:rPr>
        <w:t xml:space="preserve"> </w:t>
      </w:r>
      <w:r w:rsidR="00852CF3" w:rsidRPr="00E10543">
        <w:rPr>
          <w:rFonts w:ascii="Century Gothic" w:eastAsia="Bookman Old Style" w:hAnsi="Century Gothic" w:cs="Bookman Old Style"/>
          <w:sz w:val="20"/>
          <w:szCs w:val="20"/>
          <w:lang w:val="es"/>
        </w:rPr>
        <w:t xml:space="preserve">violencia vicaria no sólo afecta las mujeres sino también a los menores de edad. </w:t>
      </w:r>
    </w:p>
    <w:p w14:paraId="4F0EAEA8"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738DB4F8" w14:textId="682ADA89" w:rsidR="00132CB5" w:rsidRPr="00E10543" w:rsidRDefault="00852CF3" w:rsidP="00E57707">
      <w:pPr>
        <w:pBdr>
          <w:top w:val="nil"/>
          <w:left w:val="nil"/>
          <w:bottom w:val="nil"/>
          <w:right w:val="nil"/>
          <w:between w:val="nil"/>
        </w:pBdr>
        <w:spacing w:line="276" w:lineRule="auto"/>
        <w:ind w:left="851" w:right="616"/>
        <w:jc w:val="both"/>
        <w:rPr>
          <w:rFonts w:ascii="Century Gothic" w:eastAsia="Bookman Old Style" w:hAnsi="Century Gothic" w:cs="Bookman Old Style"/>
          <w:sz w:val="20"/>
          <w:szCs w:val="20"/>
          <w:lang w:val="es"/>
        </w:rPr>
      </w:pPr>
      <w:r w:rsidRPr="00E10543">
        <w:rPr>
          <w:rFonts w:ascii="Century Gothic" w:eastAsia="Bookman Old Style" w:hAnsi="Century Gothic" w:cs="Bookman Old Style"/>
          <w:sz w:val="20"/>
          <w:szCs w:val="20"/>
          <w:lang w:val="es"/>
        </w:rPr>
        <w:t>“</w:t>
      </w:r>
      <w:r w:rsidRPr="00E10543">
        <w:rPr>
          <w:rFonts w:ascii="Century Gothic" w:hAnsi="Century Gothic"/>
          <w:i/>
          <w:sz w:val="20"/>
          <w:szCs w:val="20"/>
        </w:rPr>
        <w:t>Porter y López Angulo (2021) en el artículo: Violencia vicaria en el contexto de la violencia de género: un estudio descriptivo en Iberoamérica; la violencia vicaria: “Es una violencia secundaria a la víctima principal, ya que, si bien se quiere dañar a la mujer, el daño se hace a través de terceros, por interpósita persona. Al dañar a los hijos, y en su grado extremo, asesinarlos, el agresor se asegura que la mujer jamás podrá recuperarse”. Cabe destacar que, este tipo de violencia aparece con frecuencia cuando el agresor ya no puede 5 acceder directamente a la mujer, por lo que sustituyen los ataques directos hacia esta a través de terceras personas, como es el caso de los/as menores. Es decir, aunque existan denuncias al agresor, haya un divorcio e incluso una orden de alejamiento, pueden seguir produciéndose estos ataques. Olvidándose del estado emocional de los/as hijos/as y en cómo les puede afectar esta situación.</w:t>
      </w:r>
      <w:r w:rsidRPr="00E10543">
        <w:rPr>
          <w:rFonts w:ascii="Century Gothic" w:hAnsi="Century Gothic"/>
          <w:sz w:val="20"/>
          <w:szCs w:val="20"/>
        </w:rPr>
        <w:t>”</w:t>
      </w:r>
      <w:r w:rsidRPr="00E10543">
        <w:rPr>
          <w:rStyle w:val="Refdenotaalpie"/>
          <w:rFonts w:ascii="Century Gothic" w:hAnsi="Century Gothic"/>
          <w:sz w:val="20"/>
          <w:szCs w:val="20"/>
        </w:rPr>
        <w:t xml:space="preserve"> </w:t>
      </w:r>
      <w:r w:rsidRPr="00E10543">
        <w:rPr>
          <w:rStyle w:val="Refdenotaalpie"/>
          <w:rFonts w:ascii="Century Gothic" w:hAnsi="Century Gothic"/>
          <w:sz w:val="20"/>
          <w:szCs w:val="20"/>
        </w:rPr>
        <w:footnoteReference w:id="4"/>
      </w:r>
    </w:p>
    <w:p w14:paraId="4958545E" w14:textId="77777777" w:rsidR="00132CB5" w:rsidRPr="00E50C2F" w:rsidRDefault="00132CB5"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lang w:val="es"/>
        </w:rPr>
      </w:pPr>
    </w:p>
    <w:p w14:paraId="371B73EE" w14:textId="77777777" w:rsidR="00E57707" w:rsidRDefault="008B7256"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rPr>
      </w:pPr>
      <w:r w:rsidRPr="00E10543">
        <w:rPr>
          <w:rFonts w:ascii="Century Gothic" w:eastAsia="Bookman Old Style" w:hAnsi="Century Gothic" w:cs="Bookman Old Style"/>
          <w:sz w:val="20"/>
          <w:szCs w:val="20"/>
        </w:rPr>
        <w:t>El término de Violencia Vicaria ya ha sido adoptado por algunas legislaciones, entre ellas la de España desde el año 2015 en su Ley Orgánica 1/</w:t>
      </w:r>
      <w:r w:rsidR="00852CF3" w:rsidRPr="00E10543">
        <w:rPr>
          <w:rFonts w:ascii="Century Gothic" w:eastAsia="Bookman Old Style" w:hAnsi="Century Gothic" w:cs="Bookman Old Style"/>
          <w:sz w:val="20"/>
          <w:szCs w:val="20"/>
        </w:rPr>
        <w:t>2004, que</w:t>
      </w:r>
      <w:r w:rsidRPr="00E10543">
        <w:rPr>
          <w:rFonts w:ascii="Century Gothic" w:eastAsia="Bookman Old Style" w:hAnsi="Century Gothic" w:cs="Bookman Old Style"/>
          <w:sz w:val="20"/>
          <w:szCs w:val="20"/>
        </w:rPr>
        <w:t xml:space="preserve"> determinas las Medidas de Protección Integral contra la Violencia de Género. Su </w:t>
      </w:r>
      <w:r w:rsidR="00852CF3" w:rsidRPr="00E10543">
        <w:rPr>
          <w:rFonts w:ascii="Century Gothic" w:eastAsia="Bookman Old Style" w:hAnsi="Century Gothic" w:cs="Bookman Old Style"/>
          <w:sz w:val="20"/>
          <w:szCs w:val="20"/>
        </w:rPr>
        <w:t xml:space="preserve">adopción </w:t>
      </w:r>
      <w:r w:rsidR="009D79EC" w:rsidRPr="00E10543">
        <w:rPr>
          <w:rFonts w:ascii="Century Gothic" w:eastAsia="Bookman Old Style" w:hAnsi="Century Gothic" w:cs="Bookman Old Style"/>
          <w:sz w:val="20"/>
          <w:szCs w:val="20"/>
        </w:rPr>
        <w:t xml:space="preserve">se dio debido a un caso por violencia Vicaria que fue denunciado por una madre ante el Comité para la eliminación de la discriminación contra la mujer (CEDAW por sus siglas en inglés). El caso consistió en que la expareja de la mujer la amenazó con </w:t>
      </w:r>
      <w:r w:rsidR="00E57707">
        <w:rPr>
          <w:rFonts w:ascii="Century Gothic" w:eastAsia="Bookman Old Style" w:hAnsi="Century Gothic" w:cs="Bookman Old Style"/>
          <w:sz w:val="20"/>
          <w:szCs w:val="20"/>
        </w:rPr>
        <w:t>“</w:t>
      </w:r>
      <w:r w:rsidR="009D79EC" w:rsidRPr="00E10543">
        <w:rPr>
          <w:rFonts w:ascii="Century Gothic" w:eastAsia="Bookman Old Style" w:hAnsi="Century Gothic" w:cs="Bookman Old Style"/>
          <w:sz w:val="20"/>
          <w:szCs w:val="20"/>
        </w:rPr>
        <w:t>quitarle</w:t>
      </w:r>
      <w:r w:rsidR="00E57707">
        <w:rPr>
          <w:rFonts w:ascii="Century Gothic" w:eastAsia="Bookman Old Style" w:hAnsi="Century Gothic" w:cs="Bookman Old Style"/>
          <w:sz w:val="20"/>
          <w:szCs w:val="20"/>
        </w:rPr>
        <w:t xml:space="preserve"> lo</w:t>
      </w:r>
      <w:r w:rsidR="009D79EC" w:rsidRPr="00E10543">
        <w:rPr>
          <w:rFonts w:ascii="Century Gothic" w:eastAsia="Bookman Old Style" w:hAnsi="Century Gothic" w:cs="Bookman Old Style"/>
          <w:sz w:val="20"/>
          <w:szCs w:val="20"/>
        </w:rPr>
        <w:t xml:space="preserve"> que más quería</w:t>
      </w:r>
      <w:r w:rsidR="00E57707">
        <w:rPr>
          <w:rFonts w:ascii="Century Gothic" w:eastAsia="Bookman Old Style" w:hAnsi="Century Gothic" w:cs="Bookman Old Style"/>
          <w:sz w:val="20"/>
          <w:szCs w:val="20"/>
        </w:rPr>
        <w:t>”</w:t>
      </w:r>
      <w:r w:rsidR="009D79EC" w:rsidRPr="00E10543">
        <w:rPr>
          <w:rFonts w:ascii="Century Gothic" w:eastAsia="Bookman Old Style" w:hAnsi="Century Gothic" w:cs="Bookman Old Style"/>
          <w:sz w:val="20"/>
          <w:szCs w:val="20"/>
        </w:rPr>
        <w:t xml:space="preserve">, en cumplimiento a una orden judicial </w:t>
      </w:r>
      <w:r w:rsidR="00E57707">
        <w:rPr>
          <w:rFonts w:ascii="Century Gothic" w:eastAsia="Bookman Old Style" w:hAnsi="Century Gothic" w:cs="Bookman Old Style"/>
          <w:sz w:val="20"/>
          <w:szCs w:val="20"/>
        </w:rPr>
        <w:t xml:space="preserve">la hija de la demandante </w:t>
      </w:r>
      <w:r w:rsidR="009D79EC" w:rsidRPr="00E10543">
        <w:rPr>
          <w:rFonts w:ascii="Century Gothic" w:eastAsia="Bookman Old Style" w:hAnsi="Century Gothic" w:cs="Bookman Old Style"/>
          <w:sz w:val="20"/>
          <w:szCs w:val="20"/>
        </w:rPr>
        <w:t>debí</w:t>
      </w:r>
      <w:r w:rsidR="00E57707">
        <w:rPr>
          <w:rFonts w:ascii="Century Gothic" w:eastAsia="Bookman Old Style" w:hAnsi="Century Gothic" w:cs="Bookman Old Style"/>
          <w:sz w:val="20"/>
          <w:szCs w:val="20"/>
        </w:rPr>
        <w:t>o</w:t>
      </w:r>
      <w:r w:rsidR="009D79EC" w:rsidRPr="00E10543">
        <w:rPr>
          <w:rFonts w:ascii="Century Gothic" w:eastAsia="Bookman Old Style" w:hAnsi="Century Gothic" w:cs="Bookman Old Style"/>
          <w:sz w:val="20"/>
          <w:szCs w:val="20"/>
        </w:rPr>
        <w:t xml:space="preserve"> quedarse con su </w:t>
      </w:r>
      <w:r w:rsidR="00E57707" w:rsidRPr="00E10543">
        <w:rPr>
          <w:rFonts w:ascii="Century Gothic" w:eastAsia="Bookman Old Style" w:hAnsi="Century Gothic" w:cs="Bookman Old Style"/>
          <w:sz w:val="20"/>
          <w:szCs w:val="20"/>
        </w:rPr>
        <w:t xml:space="preserve">padre </w:t>
      </w:r>
      <w:r w:rsidR="00E57707">
        <w:rPr>
          <w:rFonts w:ascii="Century Gothic" w:eastAsia="Bookman Old Style" w:hAnsi="Century Gothic" w:cs="Bookman Old Style"/>
          <w:sz w:val="20"/>
          <w:szCs w:val="20"/>
        </w:rPr>
        <w:t>para cumplir el régimen de visitas</w:t>
      </w:r>
      <w:r w:rsidR="009D79EC" w:rsidRPr="00E10543">
        <w:rPr>
          <w:rFonts w:ascii="Century Gothic" w:eastAsia="Bookman Old Style" w:hAnsi="Century Gothic" w:cs="Bookman Old Style"/>
          <w:sz w:val="20"/>
          <w:szCs w:val="20"/>
        </w:rPr>
        <w:t>, el padre decidió quitarle la vida a su hija cumpliendo así su amenaza.</w:t>
      </w:r>
    </w:p>
    <w:p w14:paraId="386C8523" w14:textId="77777777" w:rsidR="00E57707" w:rsidRDefault="00E57707" w:rsidP="00E10543">
      <w:pPr>
        <w:pBdr>
          <w:top w:val="nil"/>
          <w:left w:val="nil"/>
          <w:bottom w:val="nil"/>
          <w:right w:val="nil"/>
          <w:between w:val="nil"/>
        </w:pBdr>
        <w:spacing w:line="276" w:lineRule="auto"/>
        <w:ind w:left="426"/>
        <w:jc w:val="both"/>
        <w:rPr>
          <w:rFonts w:ascii="Century Gothic" w:eastAsia="Bookman Old Style" w:hAnsi="Century Gothic" w:cs="Bookman Old Style"/>
          <w:sz w:val="20"/>
          <w:szCs w:val="20"/>
        </w:rPr>
      </w:pPr>
    </w:p>
    <w:p w14:paraId="6D15EEA1" w14:textId="7CC862A3" w:rsidR="00966810" w:rsidRPr="00E10543" w:rsidRDefault="00E57707"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rPr>
      </w:pPr>
      <w:r>
        <w:rPr>
          <w:rFonts w:ascii="Century Gothic" w:eastAsia="Bookman Old Style" w:hAnsi="Century Gothic" w:cs="Bookman Old Style"/>
          <w:sz w:val="20"/>
          <w:szCs w:val="20"/>
        </w:rPr>
        <w:t>Debido a la falta de justicia en el país vasco, l</w:t>
      </w:r>
      <w:r w:rsidR="009D79EC" w:rsidRPr="00E10543">
        <w:rPr>
          <w:rFonts w:ascii="Century Gothic" w:eastAsia="Bookman Old Style" w:hAnsi="Century Gothic" w:cs="Bookman Old Style"/>
          <w:sz w:val="20"/>
          <w:szCs w:val="20"/>
        </w:rPr>
        <w:t xml:space="preserve">a mujer decidió demandar al Estado Español, y la CEDAW en 2014, </w:t>
      </w:r>
      <w:r>
        <w:rPr>
          <w:rFonts w:ascii="Century Gothic" w:eastAsia="Bookman Old Style" w:hAnsi="Century Gothic" w:cs="Bookman Old Style"/>
          <w:sz w:val="20"/>
          <w:szCs w:val="20"/>
        </w:rPr>
        <w:t>emitió concepto decidiendo</w:t>
      </w:r>
      <w:r w:rsidR="009D79EC" w:rsidRPr="00E10543">
        <w:rPr>
          <w:rFonts w:ascii="Century Gothic" w:eastAsia="Bookman Old Style" w:hAnsi="Century Gothic" w:cs="Bookman Old Style"/>
          <w:sz w:val="20"/>
          <w:szCs w:val="20"/>
        </w:rPr>
        <w:t xml:space="preserve"> que España </w:t>
      </w:r>
      <w:r w:rsidR="009D79EC" w:rsidRPr="00E57707">
        <w:rPr>
          <w:rFonts w:ascii="Century Gothic" w:eastAsia="Bookman Old Style" w:hAnsi="Century Gothic" w:cs="Bookman Old Style"/>
          <w:bCs/>
          <w:sz w:val="20"/>
          <w:szCs w:val="20"/>
        </w:rPr>
        <w:t>sí tenía responsabilidad</w:t>
      </w:r>
      <w:r w:rsidR="009D79EC" w:rsidRPr="00E10543">
        <w:rPr>
          <w:rFonts w:ascii="Century Gothic" w:eastAsia="Bookman Old Style" w:hAnsi="Century Gothic" w:cs="Bookman Old Style"/>
          <w:sz w:val="20"/>
          <w:szCs w:val="20"/>
        </w:rPr>
        <w:t> ya que incumplió la Convención sobre la eliminación de todas las formas de discriminación contra la mujer, que entró en vigor en España en 1984, as</w:t>
      </w:r>
      <w:r w:rsidR="004E76F4" w:rsidRPr="00E10543">
        <w:rPr>
          <w:rFonts w:ascii="Century Gothic" w:eastAsia="Bookman Old Style" w:hAnsi="Century Gothic" w:cs="Bookman Old Style"/>
          <w:sz w:val="20"/>
          <w:szCs w:val="20"/>
        </w:rPr>
        <w:t>í como el Protocolo Facultativo.   La abogada del caso explicó que “E</w:t>
      </w:r>
      <w:r w:rsidR="004E76F4" w:rsidRPr="00E10543">
        <w:rPr>
          <w:rFonts w:ascii="Century Gothic" w:hAnsi="Century Gothic" w:cs="Segoe UI"/>
          <w:sz w:val="20"/>
          <w:szCs w:val="20"/>
          <w:shd w:val="clear" w:color="auto" w:fill="FFFFFF"/>
        </w:rPr>
        <w:t>l Comité CEDAW considera que España había ratificado el Convenio, según el cual se debe proteger y garantizar la vida, por lo que supone un incumplimiento del mismo”: “El Estado en su conjunto (Policía, autoridades judiciales…) tiene responsabilidad en tanto que tenía conocimiento de la situación y no puso todas las medidas posibles para evitarlo”</w:t>
      </w:r>
      <w:r w:rsidR="004E76F4" w:rsidRPr="00E10543">
        <w:rPr>
          <w:rStyle w:val="Refdenotaalpie"/>
          <w:rFonts w:ascii="Century Gothic" w:hAnsi="Century Gothic" w:cs="Segoe UI"/>
          <w:sz w:val="20"/>
          <w:szCs w:val="20"/>
          <w:shd w:val="clear" w:color="auto" w:fill="FFFFFF"/>
        </w:rPr>
        <w:footnoteReference w:id="5"/>
      </w:r>
      <w:r w:rsidR="004E76F4" w:rsidRPr="00E10543">
        <w:rPr>
          <w:rFonts w:ascii="Century Gothic" w:hAnsi="Century Gothic" w:cs="Segoe UI"/>
          <w:sz w:val="20"/>
          <w:szCs w:val="20"/>
          <w:shd w:val="clear" w:color="auto" w:fill="FFFFFF"/>
        </w:rPr>
        <w:t xml:space="preserve">. </w:t>
      </w:r>
    </w:p>
    <w:p w14:paraId="5A2E3887" w14:textId="677A8829" w:rsidR="004E76F4" w:rsidRPr="00E10543" w:rsidRDefault="004E76F4"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rPr>
      </w:pPr>
    </w:p>
    <w:p w14:paraId="48FE2D8D" w14:textId="607EF16C" w:rsidR="004E76F4" w:rsidRPr="00E10543" w:rsidRDefault="004E76F4"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rPr>
      </w:pPr>
      <w:r w:rsidRPr="00E10543">
        <w:rPr>
          <w:rFonts w:ascii="Century Gothic" w:hAnsi="Century Gothic" w:cs="Segoe UI"/>
          <w:sz w:val="20"/>
          <w:szCs w:val="20"/>
          <w:shd w:val="clear" w:color="auto" w:fill="FFFFFF"/>
        </w:rPr>
        <w:t xml:space="preserve">Es de recordar que Colombia hace parte de la CEDAW desde 1982 y ratificó el Protocolo Facultativo de la Convención sobre la eliminación de todas las formas de discriminación contra la mujer, en el 2007. </w:t>
      </w:r>
      <w:r w:rsidRPr="00E10543">
        <w:rPr>
          <w:rStyle w:val="Refdenotaalpie"/>
          <w:rFonts w:ascii="Century Gothic" w:hAnsi="Century Gothic" w:cs="Segoe UI"/>
          <w:sz w:val="20"/>
          <w:szCs w:val="20"/>
          <w:shd w:val="clear" w:color="auto" w:fill="FFFFFF"/>
        </w:rPr>
        <w:footnoteReference w:id="6"/>
      </w:r>
      <w:r w:rsidRPr="00E10543">
        <w:rPr>
          <w:rFonts w:ascii="Century Gothic" w:hAnsi="Century Gothic" w:cs="Segoe UI"/>
          <w:sz w:val="20"/>
          <w:szCs w:val="20"/>
          <w:shd w:val="clear" w:color="auto" w:fill="FFFFFF"/>
        </w:rPr>
        <w:t xml:space="preserve"> Por tal motivo también está obligada a adoptar todas las medidas posibles para evitar cualquier forma de violencia. </w:t>
      </w:r>
    </w:p>
    <w:p w14:paraId="0100B7F2" w14:textId="2A0A0BF1" w:rsidR="004E76F4" w:rsidRPr="00E10543" w:rsidRDefault="004E76F4"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rPr>
      </w:pPr>
    </w:p>
    <w:p w14:paraId="5E78DB7D" w14:textId="161A053A" w:rsidR="004E76F4" w:rsidRPr="00E10543" w:rsidRDefault="004E76F4"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rPr>
      </w:pPr>
      <w:r w:rsidRPr="00E10543">
        <w:rPr>
          <w:rFonts w:ascii="Century Gothic" w:hAnsi="Century Gothic" w:cs="Segoe UI"/>
          <w:sz w:val="20"/>
          <w:szCs w:val="20"/>
          <w:shd w:val="clear" w:color="auto" w:fill="FFFFFF"/>
        </w:rPr>
        <w:lastRenderedPageBreak/>
        <w:t xml:space="preserve">En Colombia, </w:t>
      </w:r>
      <w:r w:rsidR="000B307B" w:rsidRPr="00E10543">
        <w:rPr>
          <w:rFonts w:ascii="Century Gothic" w:hAnsi="Century Gothic" w:cs="Segoe UI"/>
          <w:sz w:val="20"/>
          <w:szCs w:val="20"/>
          <w:shd w:val="clear" w:color="auto" w:fill="FFFFFF"/>
        </w:rPr>
        <w:t>ya se han registrado hechos de violencia vicaria. En Melgar-</w:t>
      </w:r>
      <w:r w:rsidR="004F7052" w:rsidRPr="00E10543">
        <w:rPr>
          <w:rFonts w:ascii="Century Gothic" w:hAnsi="Century Gothic" w:cs="Segoe UI"/>
          <w:sz w:val="20"/>
          <w:szCs w:val="20"/>
          <w:shd w:val="clear" w:color="auto" w:fill="FFFFFF"/>
        </w:rPr>
        <w:t>Tolima</w:t>
      </w:r>
      <w:r w:rsidR="000B307B" w:rsidRPr="00E10543">
        <w:rPr>
          <w:rFonts w:ascii="Century Gothic" w:hAnsi="Century Gothic" w:cs="Segoe UI"/>
          <w:sz w:val="20"/>
          <w:szCs w:val="20"/>
          <w:shd w:val="clear" w:color="auto" w:fill="FFFFFF"/>
        </w:rPr>
        <w:t>, un menor de edad fue asesinado por su padre con el fin de causarle un daño irreparable a su expareja y madre del menor.</w:t>
      </w:r>
      <w:r w:rsidR="000B307B" w:rsidRPr="00E10543">
        <w:rPr>
          <w:rStyle w:val="Refdenotaalpie"/>
          <w:rFonts w:ascii="Century Gothic" w:hAnsi="Century Gothic" w:cs="Segoe UI"/>
          <w:sz w:val="20"/>
          <w:szCs w:val="20"/>
          <w:shd w:val="clear" w:color="auto" w:fill="FFFFFF"/>
        </w:rPr>
        <w:footnoteReference w:id="7"/>
      </w:r>
      <w:r w:rsidR="000B307B" w:rsidRPr="00E10543">
        <w:rPr>
          <w:rFonts w:ascii="Century Gothic" w:hAnsi="Century Gothic" w:cs="Segoe UI"/>
          <w:sz w:val="20"/>
          <w:szCs w:val="20"/>
          <w:shd w:val="clear" w:color="auto" w:fill="FFFFFF"/>
        </w:rPr>
        <w:t xml:space="preserve"> Sin embargo </w:t>
      </w:r>
      <w:r w:rsidR="004F7052" w:rsidRPr="00E10543">
        <w:rPr>
          <w:rFonts w:ascii="Century Gothic" w:hAnsi="Century Gothic" w:cs="Segoe UI"/>
          <w:sz w:val="20"/>
          <w:szCs w:val="20"/>
          <w:shd w:val="clear" w:color="auto" w:fill="FFFFFF"/>
        </w:rPr>
        <w:t>a pesar de que pueden ser muchísimos más no ha sido posible para el Estado visibilizar este tipo de violencias, debido a que no se encuentra regulado. Se hace necesario</w:t>
      </w:r>
      <w:r w:rsidR="00E57707">
        <w:rPr>
          <w:rFonts w:ascii="Century Gothic" w:hAnsi="Century Gothic" w:cs="Segoe UI"/>
          <w:sz w:val="20"/>
          <w:szCs w:val="20"/>
          <w:shd w:val="clear" w:color="auto" w:fill="FFFFFF"/>
        </w:rPr>
        <w:t xml:space="preserve"> entonces</w:t>
      </w:r>
      <w:r w:rsidR="004F7052" w:rsidRPr="00E10543">
        <w:rPr>
          <w:rFonts w:ascii="Century Gothic" w:hAnsi="Century Gothic" w:cs="Segoe UI"/>
          <w:sz w:val="20"/>
          <w:szCs w:val="20"/>
          <w:shd w:val="clear" w:color="auto" w:fill="FFFFFF"/>
        </w:rPr>
        <w:t xml:space="preserve"> incluir este tipo de violencia en nuestro ordenamiento colombiano con el fin de poder prevenir, asistir, acompañar y visibilizar a las víctimas de la violencia vicaria, así como generar políticas públicas y capacitar a todos los funcionarios para su debida atención. </w:t>
      </w:r>
    </w:p>
    <w:p w14:paraId="55CB83E5" w14:textId="063D7426"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rPr>
      </w:pPr>
    </w:p>
    <w:p w14:paraId="23D6BFB3" w14:textId="77777777" w:rsidR="00E57707"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 xml:space="preserve">En ese orden de ideas, se considera como un problema grave que el término violencia vicaria, no se encuentre reconocido en nuestro sistema jurídico como una forma de violencia contra las mujeres, pues es condición jurídica suficiente para dejar sin sanción a las personas que cometen este tipo de actos y sin protección a sus víctimas, pues a diferencia de otras, </w:t>
      </w:r>
      <w:r w:rsidRPr="00E10543">
        <w:rPr>
          <w:rFonts w:ascii="Century Gothic" w:hAnsi="Century Gothic" w:cs="Segoe UI"/>
          <w:sz w:val="20"/>
          <w:szCs w:val="20"/>
          <w:u w:val="single"/>
          <w:shd w:val="clear" w:color="auto" w:fill="FFFFFF"/>
          <w:lang w:val="es"/>
        </w:rPr>
        <w:t>el medio por el que se cometen es la instrumentalización de una persona cercana a la mujer con el objetivo de hacerles daño</w:t>
      </w:r>
      <w:r w:rsidRPr="00E10543">
        <w:rPr>
          <w:rFonts w:ascii="Century Gothic" w:hAnsi="Century Gothic" w:cs="Segoe UI"/>
          <w:sz w:val="20"/>
          <w:szCs w:val="20"/>
          <w:shd w:val="clear" w:color="auto" w:fill="FFFFFF"/>
          <w:lang w:val="es"/>
        </w:rPr>
        <w:t xml:space="preserve">. </w:t>
      </w:r>
    </w:p>
    <w:p w14:paraId="1FB4D98D" w14:textId="77777777" w:rsidR="00E57707" w:rsidRDefault="00E57707"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p>
    <w:p w14:paraId="40E0DDB9" w14:textId="7F92041D"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 xml:space="preserve">La violencia vicaria puede ser ejercida sobre cualquier persona con quien la mujer tenga un vínculo afectivo y que se encuentre en situación de vulnerabilidad, es una realidad que en su mayoría quienes son afectados directamente son las propias hijas e hijos. Estas conductas pueden producir consecuencias en la salud, seguridad y en los peores casos la vida de la infancia y las mujeres. Debemos tomar acciones que prevengan, protejan y garanticen los derechos tanto de las mujeres, de los menores y sus familias.  </w:t>
      </w:r>
    </w:p>
    <w:p w14:paraId="0DA6DB26"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p>
    <w:p w14:paraId="55320B95"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Resulta necesario exponer como consecuencia de estas conductas la innegable violación a los derechos humanos de las mujeres y la niñez, pues muchas niñas y niños pasan a ser considerados objeto y despojados de su dignidad para convertirse en el vehículo de sufrimiento de su propia madre.</w:t>
      </w:r>
    </w:p>
    <w:p w14:paraId="7BF3379B"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p>
    <w:p w14:paraId="3CA92567"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El punto de coincidencia en este Congreso, debe ser impulsar la modificación del marco jurídico vigente a fin de incorporar esta figura, con el objeto de prevenir y erradicar este tipo de violencia. Para la consecución de este fin, se debe reconocer que se trata de un fenómeno complejo que debe ser analizado de forma integral, a fin de generar las adecuaciones normativas necesarias no solo para armonizar las leyes, sino para lograr un verdadero cambio en nuestra sociedad. Este es el primer marco normativo por medio del cual inicia este proceso.</w:t>
      </w:r>
    </w:p>
    <w:p w14:paraId="7E9D8FCC"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rPr>
      </w:pPr>
    </w:p>
    <w:p w14:paraId="2E1B0BAF" w14:textId="448603E8"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b/>
          <w:sz w:val="20"/>
          <w:szCs w:val="20"/>
          <w:shd w:val="clear" w:color="auto" w:fill="FFFFFF"/>
          <w:lang w:val="es"/>
        </w:rPr>
      </w:pPr>
      <w:r w:rsidRPr="00E10543">
        <w:rPr>
          <w:rFonts w:ascii="Century Gothic" w:hAnsi="Century Gothic" w:cs="Segoe UI"/>
          <w:b/>
          <w:sz w:val="20"/>
          <w:szCs w:val="20"/>
          <w:shd w:val="clear" w:color="auto" w:fill="FFFFFF"/>
          <w:lang w:val="es"/>
        </w:rPr>
        <w:t xml:space="preserve">CARACTERÍSTICAS DE LA VIOLENCIA VICARIA </w:t>
      </w:r>
    </w:p>
    <w:p w14:paraId="5E9BFC88"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b/>
          <w:sz w:val="20"/>
          <w:szCs w:val="20"/>
          <w:shd w:val="clear" w:color="auto" w:fill="FFFFFF"/>
          <w:lang w:val="es"/>
        </w:rPr>
      </w:pPr>
    </w:p>
    <w:p w14:paraId="2133E3F2"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La Violencia Vicaria es una violencia secundaria a la víctima principal, ya que, si bien se quiere dañar a la mujer, el daño se hace a través de terceros, por interpósita persona.</w:t>
      </w:r>
    </w:p>
    <w:p w14:paraId="5EBC7C06"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p>
    <w:p w14:paraId="7FEEEC76" w14:textId="3D12CE11" w:rsidR="004F7052" w:rsidRPr="00E10543" w:rsidRDefault="004F7052" w:rsidP="002C1CA8">
      <w:pPr>
        <w:pBdr>
          <w:top w:val="nil"/>
          <w:left w:val="nil"/>
          <w:bottom w:val="nil"/>
          <w:right w:val="nil"/>
          <w:between w:val="nil"/>
        </w:pBdr>
        <w:spacing w:line="276" w:lineRule="auto"/>
        <w:ind w:left="851" w:right="900"/>
        <w:jc w:val="both"/>
        <w:rPr>
          <w:rFonts w:ascii="Century Gothic" w:hAnsi="Century Gothic" w:cs="Segoe UI"/>
          <w:i/>
          <w:sz w:val="20"/>
          <w:szCs w:val="20"/>
          <w:shd w:val="clear" w:color="auto" w:fill="FFFFFF"/>
          <w:lang w:val="es"/>
        </w:rPr>
      </w:pPr>
      <w:r w:rsidRPr="00E10543">
        <w:rPr>
          <w:rFonts w:ascii="Century Gothic" w:hAnsi="Century Gothic" w:cs="Segoe UI"/>
          <w:i/>
          <w:sz w:val="20"/>
          <w:szCs w:val="20"/>
          <w:shd w:val="clear" w:color="auto" w:fill="FFFFFF"/>
          <w:lang w:val="es"/>
        </w:rPr>
        <w:t xml:space="preserve">“Este tipo de violencia aparece con frecuencia cuando el agresor ya no puede acceder </w:t>
      </w:r>
      <w:r w:rsidR="00E57707" w:rsidRPr="00E10543">
        <w:rPr>
          <w:rFonts w:ascii="Century Gothic" w:hAnsi="Century Gothic" w:cs="Segoe UI"/>
          <w:i/>
          <w:sz w:val="20"/>
          <w:szCs w:val="20"/>
          <w:shd w:val="clear" w:color="auto" w:fill="FFFFFF"/>
          <w:lang w:val="es"/>
        </w:rPr>
        <w:t>directamente a la mujer</w:t>
      </w:r>
      <w:r w:rsidRPr="00E10543">
        <w:rPr>
          <w:rFonts w:ascii="Century Gothic" w:hAnsi="Century Gothic" w:cs="Segoe UI"/>
          <w:i/>
          <w:sz w:val="20"/>
          <w:szCs w:val="20"/>
          <w:shd w:val="clear" w:color="auto" w:fill="FFFFFF"/>
          <w:lang w:val="es"/>
        </w:rPr>
        <w:t xml:space="preserve">, </w:t>
      </w:r>
      <w:r w:rsidR="00E57707" w:rsidRPr="00E10543">
        <w:rPr>
          <w:rFonts w:ascii="Century Gothic" w:hAnsi="Century Gothic" w:cs="Segoe UI"/>
          <w:i/>
          <w:sz w:val="20"/>
          <w:szCs w:val="20"/>
          <w:shd w:val="clear" w:color="auto" w:fill="FFFFFF"/>
          <w:lang w:val="es"/>
        </w:rPr>
        <w:t>por lo que</w:t>
      </w:r>
      <w:r w:rsidRPr="00E10543">
        <w:rPr>
          <w:rFonts w:ascii="Century Gothic" w:hAnsi="Century Gothic" w:cs="Segoe UI"/>
          <w:i/>
          <w:sz w:val="20"/>
          <w:szCs w:val="20"/>
          <w:shd w:val="clear" w:color="auto" w:fill="FFFFFF"/>
          <w:lang w:val="es"/>
        </w:rPr>
        <w:t xml:space="preserve"> sustituye el </w:t>
      </w:r>
      <w:r w:rsidR="00E57707" w:rsidRPr="00E10543">
        <w:rPr>
          <w:rFonts w:ascii="Century Gothic" w:hAnsi="Century Gothic" w:cs="Segoe UI"/>
          <w:i/>
          <w:sz w:val="20"/>
          <w:szCs w:val="20"/>
          <w:shd w:val="clear" w:color="auto" w:fill="FFFFFF"/>
          <w:lang w:val="es"/>
        </w:rPr>
        <w:t>foco de violencia por alguna persona</w:t>
      </w:r>
      <w:r w:rsidRPr="00E10543">
        <w:rPr>
          <w:rFonts w:ascii="Century Gothic" w:hAnsi="Century Gothic" w:cs="Segoe UI"/>
          <w:i/>
          <w:sz w:val="20"/>
          <w:szCs w:val="20"/>
          <w:shd w:val="clear" w:color="auto" w:fill="FFFFFF"/>
          <w:lang w:val="es"/>
        </w:rPr>
        <w:t xml:space="preserve"> significativa para ella, que esté a su alcance; por lo general, los hijos en común. Los </w:t>
      </w:r>
      <w:r w:rsidR="00E57707" w:rsidRPr="00E10543">
        <w:rPr>
          <w:rFonts w:ascii="Century Gothic" w:hAnsi="Century Gothic" w:cs="Segoe UI"/>
          <w:i/>
          <w:sz w:val="20"/>
          <w:szCs w:val="20"/>
          <w:shd w:val="clear" w:color="auto" w:fill="FFFFFF"/>
          <w:lang w:val="es"/>
        </w:rPr>
        <w:t xml:space="preserve">agresores saben perfectamente que una de las maneras </w:t>
      </w:r>
      <w:r w:rsidR="002C1CA8" w:rsidRPr="00E10543">
        <w:rPr>
          <w:rFonts w:ascii="Century Gothic" w:hAnsi="Century Gothic" w:cs="Segoe UI"/>
          <w:i/>
          <w:sz w:val="20"/>
          <w:szCs w:val="20"/>
          <w:shd w:val="clear" w:color="auto" w:fill="FFFFFF"/>
          <w:lang w:val="es"/>
        </w:rPr>
        <w:t>de dañar a las mujeres es</w:t>
      </w:r>
      <w:r w:rsidRPr="00E10543">
        <w:rPr>
          <w:rFonts w:ascii="Century Gothic" w:hAnsi="Century Gothic" w:cs="Segoe UI"/>
          <w:i/>
          <w:sz w:val="20"/>
          <w:szCs w:val="20"/>
          <w:shd w:val="clear" w:color="auto" w:fill="FFFFFF"/>
          <w:lang w:val="es"/>
        </w:rPr>
        <w:t xml:space="preserve"> dañando a los hijos, o rompiendo la relación de éstos con sus madres. A veces dañan al niño siendo negligentes en los cuidados, o no devuelven a los niños a su hora tras </w:t>
      </w:r>
      <w:r w:rsidR="002C1CA8" w:rsidRPr="00E10543">
        <w:rPr>
          <w:rFonts w:ascii="Century Gothic" w:hAnsi="Century Gothic" w:cs="Segoe UI"/>
          <w:i/>
          <w:sz w:val="20"/>
          <w:szCs w:val="20"/>
          <w:shd w:val="clear" w:color="auto" w:fill="FFFFFF"/>
          <w:lang w:val="es"/>
        </w:rPr>
        <w:t>una separación, o hablan mal de la madre delante</w:t>
      </w:r>
      <w:r w:rsidRPr="00E10543">
        <w:rPr>
          <w:rFonts w:ascii="Century Gothic" w:hAnsi="Century Gothic" w:cs="Segoe UI"/>
          <w:i/>
          <w:sz w:val="20"/>
          <w:szCs w:val="20"/>
          <w:shd w:val="clear" w:color="auto" w:fill="FFFFFF"/>
          <w:lang w:val="es"/>
        </w:rPr>
        <w:t xml:space="preserve"> </w:t>
      </w:r>
      <w:r w:rsidR="002C1CA8" w:rsidRPr="00E10543">
        <w:rPr>
          <w:rFonts w:ascii="Century Gothic" w:hAnsi="Century Gothic" w:cs="Segoe UI"/>
          <w:i/>
          <w:sz w:val="20"/>
          <w:szCs w:val="20"/>
          <w:shd w:val="clear" w:color="auto" w:fill="FFFFFF"/>
          <w:lang w:val="es"/>
        </w:rPr>
        <w:t>de ellos</w:t>
      </w:r>
      <w:r w:rsidRPr="00E10543">
        <w:rPr>
          <w:rFonts w:ascii="Century Gothic" w:hAnsi="Century Gothic" w:cs="Segoe UI"/>
          <w:i/>
          <w:sz w:val="20"/>
          <w:szCs w:val="20"/>
          <w:shd w:val="clear" w:color="auto" w:fill="FFFFFF"/>
          <w:lang w:val="es"/>
        </w:rPr>
        <w:t xml:space="preserve">.  </w:t>
      </w:r>
      <w:r w:rsidR="002C1CA8" w:rsidRPr="00E10543">
        <w:rPr>
          <w:rFonts w:ascii="Century Gothic" w:hAnsi="Century Gothic" w:cs="Segoe UI"/>
          <w:i/>
          <w:sz w:val="20"/>
          <w:szCs w:val="20"/>
          <w:shd w:val="clear" w:color="auto" w:fill="FFFFFF"/>
          <w:lang w:val="es"/>
        </w:rPr>
        <w:t>Otras veces el padre les</w:t>
      </w:r>
      <w:r w:rsidRPr="00E10543">
        <w:rPr>
          <w:rFonts w:ascii="Century Gothic" w:hAnsi="Century Gothic" w:cs="Segoe UI"/>
          <w:i/>
          <w:sz w:val="20"/>
          <w:szCs w:val="20"/>
          <w:shd w:val="clear" w:color="auto" w:fill="FFFFFF"/>
          <w:lang w:val="es"/>
        </w:rPr>
        <w:t xml:space="preserve"> </w:t>
      </w:r>
      <w:r w:rsidR="002C1CA8" w:rsidRPr="00E10543">
        <w:rPr>
          <w:rFonts w:ascii="Century Gothic" w:hAnsi="Century Gothic" w:cs="Segoe UI"/>
          <w:i/>
          <w:sz w:val="20"/>
          <w:szCs w:val="20"/>
          <w:shd w:val="clear" w:color="auto" w:fill="FFFFFF"/>
          <w:lang w:val="es"/>
        </w:rPr>
        <w:t>manipula para que vigilen a</w:t>
      </w:r>
      <w:r w:rsidRPr="00E10543">
        <w:rPr>
          <w:rFonts w:ascii="Century Gothic" w:hAnsi="Century Gothic" w:cs="Segoe UI"/>
          <w:i/>
          <w:sz w:val="20"/>
          <w:szCs w:val="20"/>
          <w:shd w:val="clear" w:color="auto" w:fill="FFFFFF"/>
          <w:lang w:val="es"/>
        </w:rPr>
        <w:t xml:space="preserve"> </w:t>
      </w:r>
      <w:r w:rsidR="002C1CA8" w:rsidRPr="00E10543">
        <w:rPr>
          <w:rFonts w:ascii="Century Gothic" w:hAnsi="Century Gothic" w:cs="Segoe UI"/>
          <w:i/>
          <w:sz w:val="20"/>
          <w:szCs w:val="20"/>
          <w:shd w:val="clear" w:color="auto" w:fill="FFFFFF"/>
          <w:lang w:val="es"/>
        </w:rPr>
        <w:t xml:space="preserve">su </w:t>
      </w:r>
      <w:r w:rsidR="002C1CA8" w:rsidRPr="00E10543">
        <w:rPr>
          <w:rFonts w:ascii="Century Gothic" w:hAnsi="Century Gothic" w:cs="Segoe UI"/>
          <w:i/>
          <w:sz w:val="20"/>
          <w:szCs w:val="20"/>
          <w:shd w:val="clear" w:color="auto" w:fill="FFFFFF"/>
          <w:lang w:val="es"/>
        </w:rPr>
        <w:lastRenderedPageBreak/>
        <w:t>madre, o para que entren dentro de los insultos</w:t>
      </w:r>
      <w:r w:rsidRPr="00E10543">
        <w:rPr>
          <w:rFonts w:ascii="Century Gothic" w:hAnsi="Century Gothic" w:cs="Segoe UI"/>
          <w:i/>
          <w:sz w:val="20"/>
          <w:szCs w:val="20"/>
          <w:shd w:val="clear" w:color="auto" w:fill="FFFFFF"/>
          <w:lang w:val="es"/>
        </w:rPr>
        <w:t xml:space="preserve">.  Son utilizados por su padre, al que también tienen miedo”. </w:t>
      </w:r>
    </w:p>
    <w:p w14:paraId="0BF2557E"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i/>
          <w:sz w:val="20"/>
          <w:szCs w:val="20"/>
          <w:shd w:val="clear" w:color="auto" w:fill="FFFFFF"/>
          <w:lang w:val="es"/>
        </w:rPr>
      </w:pPr>
    </w:p>
    <w:p w14:paraId="6AC68888" w14:textId="4C5E640D"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 xml:space="preserve">El sistema judicial produce una diferenciación entre la relación de maltrato que el hombre infringe a la mujer y la relación con los hijos e hijas. De forma que no se establece una relación directa entre el maltrato </w:t>
      </w:r>
      <w:r w:rsidR="002C1CA8" w:rsidRPr="00E10543">
        <w:rPr>
          <w:rFonts w:ascii="Century Gothic" w:hAnsi="Century Gothic" w:cs="Segoe UI"/>
          <w:sz w:val="20"/>
          <w:szCs w:val="20"/>
          <w:shd w:val="clear" w:color="auto" w:fill="FFFFFF"/>
          <w:lang w:val="es"/>
        </w:rPr>
        <w:t>a la mujer y la</w:t>
      </w:r>
      <w:r w:rsidRPr="00E10543">
        <w:rPr>
          <w:rFonts w:ascii="Century Gothic" w:hAnsi="Century Gothic" w:cs="Segoe UI"/>
          <w:sz w:val="20"/>
          <w:szCs w:val="20"/>
          <w:shd w:val="clear" w:color="auto" w:fill="FFFFFF"/>
          <w:lang w:val="es"/>
        </w:rPr>
        <w:t xml:space="preserve"> vivencia de los hijos e hijas. Sin embargo (...) existe una contradicción en la afirmación de que una misma persona puede actuar de </w:t>
      </w:r>
      <w:r w:rsidR="002C1CA8" w:rsidRPr="00E10543">
        <w:rPr>
          <w:rFonts w:ascii="Century Gothic" w:hAnsi="Century Gothic" w:cs="Segoe UI"/>
          <w:sz w:val="20"/>
          <w:szCs w:val="20"/>
          <w:shd w:val="clear" w:color="auto" w:fill="FFFFFF"/>
          <w:lang w:val="es"/>
        </w:rPr>
        <w:t>forma dañina con su pareja y a la vez</w:t>
      </w:r>
      <w:r w:rsidRPr="00E10543">
        <w:rPr>
          <w:rFonts w:ascii="Century Gothic" w:hAnsi="Century Gothic" w:cs="Segoe UI"/>
          <w:sz w:val="20"/>
          <w:szCs w:val="20"/>
          <w:shd w:val="clear" w:color="auto" w:fill="FFFFFF"/>
          <w:lang w:val="es"/>
        </w:rPr>
        <w:t xml:space="preserve"> </w:t>
      </w:r>
      <w:r w:rsidR="002C1CA8" w:rsidRPr="00E10543">
        <w:rPr>
          <w:rFonts w:ascii="Century Gothic" w:hAnsi="Century Gothic" w:cs="Segoe UI"/>
          <w:sz w:val="20"/>
          <w:szCs w:val="20"/>
          <w:shd w:val="clear" w:color="auto" w:fill="FFFFFF"/>
          <w:lang w:val="es"/>
        </w:rPr>
        <w:t>desarrollar un vínculo saludable con los hijos e hijas</w:t>
      </w:r>
      <w:r w:rsidRPr="00E10543">
        <w:rPr>
          <w:rFonts w:ascii="Century Gothic" w:hAnsi="Century Gothic" w:cs="Segoe UI"/>
          <w:sz w:val="20"/>
          <w:szCs w:val="20"/>
          <w:shd w:val="clear" w:color="auto" w:fill="FFFFFF"/>
          <w:lang w:val="es"/>
        </w:rPr>
        <w:t>.  Este  vínculo  se  distorsiona  y produce  graves  alteraciones  sistémicas  en  las  relaciones  familiares  que  influirán negativamente en el desarrollo y bienestar de los hijos e hijas”</w:t>
      </w:r>
      <w:r w:rsidRPr="00E10543">
        <w:rPr>
          <w:rFonts w:ascii="Century Gothic" w:hAnsi="Century Gothic" w:cs="Segoe UI"/>
          <w:sz w:val="20"/>
          <w:szCs w:val="20"/>
          <w:shd w:val="clear" w:color="auto" w:fill="FFFFFF"/>
          <w:vertAlign w:val="superscript"/>
          <w:lang w:val="es"/>
        </w:rPr>
        <w:footnoteReference w:id="8"/>
      </w:r>
    </w:p>
    <w:p w14:paraId="5D70A75D"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p>
    <w:p w14:paraId="45D19298"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De acuerdo con Amnistía Internacional</w:t>
      </w:r>
      <w:r w:rsidRPr="00E10543">
        <w:rPr>
          <w:rFonts w:ascii="Century Gothic" w:hAnsi="Century Gothic" w:cs="Segoe UI"/>
          <w:sz w:val="20"/>
          <w:szCs w:val="20"/>
          <w:shd w:val="clear" w:color="auto" w:fill="FFFFFF"/>
          <w:vertAlign w:val="superscript"/>
          <w:lang w:val="es"/>
        </w:rPr>
        <w:footnoteReference w:id="9"/>
      </w:r>
      <w:r w:rsidRPr="00E10543">
        <w:rPr>
          <w:rFonts w:ascii="Century Gothic" w:hAnsi="Century Gothic" w:cs="Segoe UI"/>
          <w:sz w:val="20"/>
          <w:szCs w:val="20"/>
          <w:shd w:val="clear" w:color="auto" w:fill="FFFFFF"/>
          <w:lang w:val="es"/>
        </w:rPr>
        <w:t xml:space="preserve"> la violencia vicaria puede tener varias manifestaciones pero entre las más comunes se encuentran:</w:t>
      </w:r>
    </w:p>
    <w:p w14:paraId="13F1BC12" w14:textId="77777777" w:rsidR="004F7052" w:rsidRPr="00E10543" w:rsidRDefault="004F7052" w:rsidP="002C1CA8">
      <w:pPr>
        <w:pBdr>
          <w:top w:val="nil"/>
          <w:left w:val="nil"/>
          <w:bottom w:val="nil"/>
          <w:right w:val="nil"/>
          <w:between w:val="nil"/>
        </w:pBdr>
        <w:spacing w:line="276" w:lineRule="auto"/>
        <w:ind w:left="993" w:right="333"/>
        <w:jc w:val="both"/>
        <w:rPr>
          <w:rFonts w:ascii="Century Gothic" w:hAnsi="Century Gothic" w:cs="Segoe UI"/>
          <w:sz w:val="20"/>
          <w:szCs w:val="20"/>
          <w:shd w:val="clear" w:color="auto" w:fill="FFFFFF"/>
          <w:lang w:val="es"/>
        </w:rPr>
      </w:pPr>
    </w:p>
    <w:p w14:paraId="3BC8B2C4" w14:textId="77777777" w:rsidR="004F7052" w:rsidRPr="00E10543" w:rsidRDefault="004F7052" w:rsidP="002C1CA8">
      <w:pPr>
        <w:numPr>
          <w:ilvl w:val="0"/>
          <w:numId w:val="19"/>
        </w:numPr>
        <w:pBdr>
          <w:top w:val="nil"/>
          <w:left w:val="nil"/>
          <w:bottom w:val="nil"/>
          <w:right w:val="nil"/>
          <w:between w:val="nil"/>
        </w:pBdr>
        <w:spacing w:line="276" w:lineRule="auto"/>
        <w:ind w:left="993" w:right="333"/>
        <w:jc w:val="both"/>
        <w:rPr>
          <w:rFonts w:ascii="Century Gothic" w:hAnsi="Century Gothic" w:cs="Segoe UI"/>
          <w:b/>
          <w:i/>
          <w:sz w:val="20"/>
          <w:szCs w:val="20"/>
          <w:shd w:val="clear" w:color="auto" w:fill="FFFFFF"/>
          <w:lang w:val="es"/>
        </w:rPr>
      </w:pPr>
      <w:r w:rsidRPr="00E10543">
        <w:rPr>
          <w:rFonts w:ascii="Century Gothic" w:hAnsi="Century Gothic" w:cs="Segoe UI"/>
          <w:i/>
          <w:sz w:val="20"/>
          <w:szCs w:val="20"/>
          <w:shd w:val="clear" w:color="auto" w:fill="FFFFFF"/>
          <w:lang w:val="es"/>
        </w:rPr>
        <w:t>Amenazas de llevarse a los niños y niñas, quitarle la custodia o incluso matarlos.</w:t>
      </w:r>
    </w:p>
    <w:p w14:paraId="1D7ED3D6" w14:textId="77777777" w:rsidR="004F7052" w:rsidRPr="00E10543" w:rsidRDefault="004F7052" w:rsidP="002C1CA8">
      <w:pPr>
        <w:numPr>
          <w:ilvl w:val="0"/>
          <w:numId w:val="19"/>
        </w:numPr>
        <w:pBdr>
          <w:top w:val="nil"/>
          <w:left w:val="nil"/>
          <w:bottom w:val="nil"/>
          <w:right w:val="nil"/>
          <w:between w:val="nil"/>
        </w:pBdr>
        <w:spacing w:line="276" w:lineRule="auto"/>
        <w:ind w:left="993" w:right="333"/>
        <w:jc w:val="both"/>
        <w:rPr>
          <w:rFonts w:ascii="Century Gothic" w:hAnsi="Century Gothic" w:cs="Segoe UI"/>
          <w:b/>
          <w:i/>
          <w:sz w:val="20"/>
          <w:szCs w:val="20"/>
          <w:shd w:val="clear" w:color="auto" w:fill="FFFFFF"/>
          <w:lang w:val="es"/>
        </w:rPr>
      </w:pPr>
      <w:r w:rsidRPr="00E10543">
        <w:rPr>
          <w:rFonts w:ascii="Century Gothic" w:hAnsi="Century Gothic" w:cs="Segoe UI"/>
          <w:i/>
          <w:sz w:val="20"/>
          <w:szCs w:val="20"/>
          <w:shd w:val="clear" w:color="auto" w:fill="FFFFFF"/>
          <w:lang w:val="es"/>
        </w:rPr>
        <w:t>Aprovechar la presencia de los hijos e hijas para insultar a la madre, hablar mal de ella, humillarla y amenazarla.</w:t>
      </w:r>
    </w:p>
    <w:p w14:paraId="259168EC" w14:textId="77777777" w:rsidR="004F7052" w:rsidRPr="00E10543" w:rsidRDefault="004F7052" w:rsidP="002C1CA8">
      <w:pPr>
        <w:numPr>
          <w:ilvl w:val="0"/>
          <w:numId w:val="19"/>
        </w:numPr>
        <w:pBdr>
          <w:top w:val="nil"/>
          <w:left w:val="nil"/>
          <w:bottom w:val="nil"/>
          <w:right w:val="nil"/>
          <w:between w:val="nil"/>
        </w:pBdr>
        <w:spacing w:line="276" w:lineRule="auto"/>
        <w:ind w:left="993" w:right="333"/>
        <w:jc w:val="both"/>
        <w:rPr>
          <w:rFonts w:ascii="Century Gothic" w:hAnsi="Century Gothic" w:cs="Segoe UI"/>
          <w:b/>
          <w:i/>
          <w:sz w:val="20"/>
          <w:szCs w:val="20"/>
          <w:shd w:val="clear" w:color="auto" w:fill="FFFFFF"/>
          <w:lang w:val="es"/>
        </w:rPr>
      </w:pPr>
      <w:r w:rsidRPr="00E10543">
        <w:rPr>
          <w:rFonts w:ascii="Century Gothic" w:hAnsi="Century Gothic" w:cs="Segoe UI"/>
          <w:i/>
          <w:sz w:val="20"/>
          <w:szCs w:val="20"/>
          <w:shd w:val="clear" w:color="auto" w:fill="FFFFFF"/>
          <w:lang w:val="es"/>
        </w:rPr>
        <w:t>Interrumpir los tratamientos médicos o farmacológicos de los niños y niñas.</w:t>
      </w:r>
    </w:p>
    <w:p w14:paraId="5672F7B4" w14:textId="77777777" w:rsidR="004F7052" w:rsidRPr="00E10543" w:rsidRDefault="004F7052" w:rsidP="002C1CA8">
      <w:pPr>
        <w:numPr>
          <w:ilvl w:val="0"/>
          <w:numId w:val="19"/>
        </w:numPr>
        <w:pBdr>
          <w:top w:val="nil"/>
          <w:left w:val="nil"/>
          <w:bottom w:val="nil"/>
          <w:right w:val="nil"/>
          <w:between w:val="nil"/>
        </w:pBdr>
        <w:spacing w:line="276" w:lineRule="auto"/>
        <w:ind w:left="993" w:right="333"/>
        <w:jc w:val="both"/>
        <w:rPr>
          <w:rFonts w:ascii="Century Gothic" w:hAnsi="Century Gothic" w:cs="Segoe UI"/>
          <w:b/>
          <w:i/>
          <w:sz w:val="20"/>
          <w:szCs w:val="20"/>
          <w:shd w:val="clear" w:color="auto" w:fill="FFFFFF"/>
          <w:lang w:val="es"/>
        </w:rPr>
      </w:pPr>
      <w:r w:rsidRPr="00E10543">
        <w:rPr>
          <w:rFonts w:ascii="Century Gothic" w:hAnsi="Century Gothic" w:cs="Segoe UI"/>
          <w:i/>
          <w:sz w:val="20"/>
          <w:szCs w:val="20"/>
          <w:shd w:val="clear" w:color="auto" w:fill="FFFFFF"/>
          <w:lang w:val="es"/>
        </w:rPr>
        <w:t>Utilizar los momentos del régimen de visitas para inventarse información dolorosa acerca de las hijas e hijos o la ausencia de información durante esos días.</w:t>
      </w:r>
    </w:p>
    <w:p w14:paraId="6F9A4FC5"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i/>
          <w:sz w:val="20"/>
          <w:szCs w:val="20"/>
          <w:shd w:val="clear" w:color="auto" w:fill="FFFFFF"/>
          <w:lang w:val="es"/>
        </w:rPr>
      </w:pPr>
    </w:p>
    <w:p w14:paraId="6AD80745" w14:textId="27DD89B0" w:rsidR="004F7052" w:rsidRPr="00E10543" w:rsidRDefault="004F7052" w:rsidP="002C1CA8">
      <w:pPr>
        <w:pBdr>
          <w:top w:val="nil"/>
          <w:left w:val="nil"/>
          <w:bottom w:val="nil"/>
          <w:right w:val="nil"/>
          <w:between w:val="nil"/>
        </w:pBdr>
        <w:spacing w:line="276" w:lineRule="auto"/>
        <w:jc w:val="both"/>
        <w:rPr>
          <w:rFonts w:ascii="Century Gothic" w:hAnsi="Century Gothic" w:cs="Segoe UI"/>
          <w:b/>
          <w:sz w:val="20"/>
          <w:szCs w:val="20"/>
          <w:shd w:val="clear" w:color="auto" w:fill="FFFFFF"/>
          <w:lang w:val="es"/>
        </w:rPr>
      </w:pPr>
      <w:r w:rsidRPr="00E10543">
        <w:rPr>
          <w:rFonts w:ascii="Century Gothic" w:hAnsi="Century Gothic" w:cs="Segoe UI"/>
          <w:b/>
          <w:sz w:val="20"/>
          <w:szCs w:val="20"/>
          <w:shd w:val="clear" w:color="auto" w:fill="FFFFFF"/>
          <w:lang w:val="es"/>
        </w:rPr>
        <w:t xml:space="preserve">CONSECUENCIAS </w:t>
      </w:r>
      <w:r w:rsidR="002C1CA8">
        <w:rPr>
          <w:rFonts w:ascii="Century Gothic" w:hAnsi="Century Gothic" w:cs="Segoe UI"/>
          <w:b/>
          <w:sz w:val="20"/>
          <w:szCs w:val="20"/>
          <w:shd w:val="clear" w:color="auto" w:fill="FFFFFF"/>
          <w:lang w:val="es"/>
        </w:rPr>
        <w:t xml:space="preserve">DE LA </w:t>
      </w:r>
      <w:r w:rsidRPr="00E10543">
        <w:rPr>
          <w:rFonts w:ascii="Century Gothic" w:hAnsi="Century Gothic" w:cs="Segoe UI"/>
          <w:b/>
          <w:sz w:val="20"/>
          <w:szCs w:val="20"/>
          <w:shd w:val="clear" w:color="auto" w:fill="FFFFFF"/>
          <w:lang w:val="es"/>
        </w:rPr>
        <w:t>VIOLENCIA VICARIA:</w:t>
      </w:r>
    </w:p>
    <w:p w14:paraId="7C9BE4BD"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p>
    <w:p w14:paraId="03A31E79" w14:textId="1276A738"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 xml:space="preserve">Las mujeres, niñas, niños y jóvenes que experimentan violencia vicaria suelen sufrir de forma silenciosa. De acuerdo al Frente Nacional de Violencia Vicaria las afectaciones en las víctimas pueden ser:  </w:t>
      </w:r>
      <w:r w:rsidRPr="00E10543">
        <w:rPr>
          <w:rFonts w:ascii="Century Gothic" w:hAnsi="Century Gothic" w:cs="Segoe UI"/>
          <w:sz w:val="20"/>
          <w:szCs w:val="20"/>
          <w:shd w:val="clear" w:color="auto" w:fill="FFFFFF"/>
          <w:lang w:val="es"/>
        </w:rPr>
        <w:tab/>
      </w:r>
      <w:r w:rsidRPr="00E10543">
        <w:rPr>
          <w:rFonts w:ascii="Century Gothic" w:hAnsi="Century Gothic" w:cs="Segoe UI"/>
          <w:sz w:val="20"/>
          <w:szCs w:val="20"/>
          <w:shd w:val="clear" w:color="auto" w:fill="FFFFFF"/>
          <w:lang w:val="es"/>
        </w:rPr>
        <w:br/>
      </w:r>
    </w:p>
    <w:p w14:paraId="23D4CC85" w14:textId="77777777" w:rsidR="004F7052" w:rsidRPr="00E10543" w:rsidRDefault="004F7052" w:rsidP="002C1CA8">
      <w:pPr>
        <w:numPr>
          <w:ilvl w:val="0"/>
          <w:numId w:val="22"/>
        </w:numPr>
        <w:pBdr>
          <w:top w:val="nil"/>
          <w:left w:val="nil"/>
          <w:bottom w:val="nil"/>
          <w:right w:val="nil"/>
          <w:between w:val="nil"/>
        </w:pBdr>
        <w:spacing w:line="276" w:lineRule="auto"/>
        <w:ind w:left="1134"/>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Afectación psicológica.</w:t>
      </w:r>
    </w:p>
    <w:p w14:paraId="35B6C583" w14:textId="77777777" w:rsidR="004F7052" w:rsidRPr="00E10543" w:rsidRDefault="004F7052" w:rsidP="002C1CA8">
      <w:pPr>
        <w:numPr>
          <w:ilvl w:val="0"/>
          <w:numId w:val="22"/>
        </w:numPr>
        <w:pBdr>
          <w:top w:val="nil"/>
          <w:left w:val="nil"/>
          <w:bottom w:val="nil"/>
          <w:right w:val="nil"/>
          <w:between w:val="nil"/>
        </w:pBdr>
        <w:spacing w:line="276" w:lineRule="auto"/>
        <w:ind w:left="1134"/>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Ansiedad.</w:t>
      </w:r>
    </w:p>
    <w:p w14:paraId="3FC3F919" w14:textId="77777777" w:rsidR="004F7052" w:rsidRPr="00E10543" w:rsidRDefault="004F7052" w:rsidP="002C1CA8">
      <w:pPr>
        <w:numPr>
          <w:ilvl w:val="0"/>
          <w:numId w:val="22"/>
        </w:numPr>
        <w:pBdr>
          <w:top w:val="nil"/>
          <w:left w:val="nil"/>
          <w:bottom w:val="nil"/>
          <w:right w:val="nil"/>
          <w:between w:val="nil"/>
        </w:pBdr>
        <w:spacing w:line="276" w:lineRule="auto"/>
        <w:ind w:left="1134"/>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Depresión.</w:t>
      </w:r>
    </w:p>
    <w:p w14:paraId="5C380AFF" w14:textId="77777777" w:rsidR="004F7052" w:rsidRPr="00E10543" w:rsidRDefault="004F7052" w:rsidP="002C1CA8">
      <w:pPr>
        <w:numPr>
          <w:ilvl w:val="0"/>
          <w:numId w:val="22"/>
        </w:numPr>
        <w:pBdr>
          <w:top w:val="nil"/>
          <w:left w:val="nil"/>
          <w:bottom w:val="nil"/>
          <w:right w:val="nil"/>
          <w:between w:val="nil"/>
        </w:pBdr>
        <w:spacing w:line="276" w:lineRule="auto"/>
        <w:ind w:left="1134"/>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Estrés post traumático.</w:t>
      </w:r>
    </w:p>
    <w:p w14:paraId="6D0ACD73" w14:textId="77777777" w:rsidR="004F7052" w:rsidRPr="00E10543" w:rsidRDefault="004F7052" w:rsidP="002C1CA8">
      <w:pPr>
        <w:numPr>
          <w:ilvl w:val="0"/>
          <w:numId w:val="22"/>
        </w:numPr>
        <w:pBdr>
          <w:top w:val="nil"/>
          <w:left w:val="nil"/>
          <w:bottom w:val="nil"/>
          <w:right w:val="nil"/>
          <w:between w:val="nil"/>
        </w:pBdr>
        <w:spacing w:line="276" w:lineRule="auto"/>
        <w:ind w:left="1134"/>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Ideaciones suicidas.</w:t>
      </w:r>
    </w:p>
    <w:p w14:paraId="5278956F" w14:textId="77777777" w:rsidR="004F7052" w:rsidRPr="00E10543" w:rsidRDefault="004F7052" w:rsidP="002C1CA8">
      <w:pPr>
        <w:numPr>
          <w:ilvl w:val="0"/>
          <w:numId w:val="22"/>
        </w:numPr>
        <w:pBdr>
          <w:top w:val="nil"/>
          <w:left w:val="nil"/>
          <w:bottom w:val="nil"/>
          <w:right w:val="nil"/>
          <w:between w:val="nil"/>
        </w:pBdr>
        <w:spacing w:line="276" w:lineRule="auto"/>
        <w:ind w:left="1134"/>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Autolesiones y suicidio.</w:t>
      </w:r>
    </w:p>
    <w:p w14:paraId="7709A973" w14:textId="77777777" w:rsidR="004F7052" w:rsidRPr="00E10543" w:rsidRDefault="004F7052" w:rsidP="002C1CA8">
      <w:pPr>
        <w:numPr>
          <w:ilvl w:val="0"/>
          <w:numId w:val="22"/>
        </w:numPr>
        <w:pBdr>
          <w:top w:val="nil"/>
          <w:left w:val="nil"/>
          <w:bottom w:val="nil"/>
          <w:right w:val="nil"/>
          <w:between w:val="nil"/>
        </w:pBdr>
        <w:spacing w:line="276" w:lineRule="auto"/>
        <w:ind w:left="1134"/>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Feminicidio e infanticidio.</w:t>
      </w:r>
    </w:p>
    <w:p w14:paraId="48B690B8"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p>
    <w:p w14:paraId="1EDACB12"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r w:rsidRPr="00E10543">
        <w:rPr>
          <w:rFonts w:ascii="Century Gothic" w:hAnsi="Century Gothic" w:cs="Segoe UI"/>
          <w:sz w:val="20"/>
          <w:szCs w:val="20"/>
          <w:shd w:val="clear" w:color="auto" w:fill="FFFFFF"/>
          <w:lang w:val="es"/>
        </w:rPr>
        <w:t>En el caso de la niñez y juventudes, la violencia que presencian puede tener consecuencias emocionales y psicológicas graves que pueden persistir hasta la edad adulta. Algunos de los efectos más comunes incluyen:</w:t>
      </w:r>
    </w:p>
    <w:p w14:paraId="4AAD3E6A"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p>
    <w:p w14:paraId="73405048" w14:textId="77777777" w:rsidR="004F7052" w:rsidRPr="00E10543" w:rsidRDefault="004F7052" w:rsidP="00E10543">
      <w:pPr>
        <w:numPr>
          <w:ilvl w:val="0"/>
          <w:numId w:val="20"/>
        </w:num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r w:rsidRPr="00E10543">
        <w:rPr>
          <w:rFonts w:ascii="Century Gothic" w:hAnsi="Century Gothic" w:cs="Segoe UI"/>
          <w:sz w:val="20"/>
          <w:szCs w:val="20"/>
          <w:u w:val="single"/>
          <w:shd w:val="clear" w:color="auto" w:fill="FFFFFF"/>
          <w:lang w:val="es"/>
        </w:rPr>
        <w:t>Problemas emocionales:</w:t>
      </w:r>
      <w:r w:rsidRPr="00E10543">
        <w:rPr>
          <w:rFonts w:ascii="Century Gothic" w:hAnsi="Century Gothic" w:cs="Segoe UI"/>
          <w:sz w:val="20"/>
          <w:szCs w:val="20"/>
          <w:shd w:val="clear" w:color="auto" w:fill="FFFFFF"/>
          <w:lang w:val="es"/>
        </w:rPr>
        <w:t xml:space="preserve"> Los niños que sufren violencia vicaria pueden desarrollar problemas emocionales, como ansiedad, depresión, trastornos de estrés postraumático y baja autoestima. Estos problemas pueden persistir hasta la edad adulta, y pueden afectar su capacidad para formar relaciones saludables.</w:t>
      </w:r>
    </w:p>
    <w:p w14:paraId="0554C9F4"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p>
    <w:p w14:paraId="20D4496B" w14:textId="77777777" w:rsidR="004F7052" w:rsidRPr="00E10543" w:rsidRDefault="004F7052" w:rsidP="00E10543">
      <w:pPr>
        <w:numPr>
          <w:ilvl w:val="0"/>
          <w:numId w:val="20"/>
        </w:num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r w:rsidRPr="00E10543">
        <w:rPr>
          <w:rFonts w:ascii="Century Gothic" w:hAnsi="Century Gothic" w:cs="Segoe UI"/>
          <w:sz w:val="20"/>
          <w:szCs w:val="20"/>
          <w:u w:val="single"/>
          <w:shd w:val="clear" w:color="auto" w:fill="FFFFFF"/>
          <w:lang w:val="es"/>
        </w:rPr>
        <w:t>Problemas de comportamiento</w:t>
      </w:r>
      <w:r w:rsidRPr="00E10543">
        <w:rPr>
          <w:rFonts w:ascii="Century Gothic" w:hAnsi="Century Gothic" w:cs="Segoe UI"/>
          <w:sz w:val="20"/>
          <w:szCs w:val="20"/>
          <w:shd w:val="clear" w:color="auto" w:fill="FFFFFF"/>
          <w:lang w:val="es"/>
        </w:rPr>
        <w:t>: Los niños que experimentan violencia vicaria también pueden desarrollar problemas de comportamiento, como comportamiento agresivo, problemas para relacionarse con sus pares y problemas escolares.</w:t>
      </w:r>
    </w:p>
    <w:p w14:paraId="0B11550E"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p>
    <w:p w14:paraId="32F8C2FE" w14:textId="77777777" w:rsidR="004F7052" w:rsidRPr="00E10543" w:rsidRDefault="004F7052" w:rsidP="00E10543">
      <w:pPr>
        <w:numPr>
          <w:ilvl w:val="0"/>
          <w:numId w:val="20"/>
        </w:num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r w:rsidRPr="00E10543">
        <w:rPr>
          <w:rFonts w:ascii="Century Gothic" w:hAnsi="Century Gothic" w:cs="Segoe UI"/>
          <w:sz w:val="20"/>
          <w:szCs w:val="20"/>
          <w:u w:val="single"/>
          <w:shd w:val="clear" w:color="auto" w:fill="FFFFFF"/>
          <w:lang w:val="es"/>
        </w:rPr>
        <w:lastRenderedPageBreak/>
        <w:t>Problemas de salud mental:</w:t>
      </w:r>
      <w:r w:rsidRPr="00E10543">
        <w:rPr>
          <w:rFonts w:ascii="Century Gothic" w:hAnsi="Century Gothic" w:cs="Segoe UI"/>
          <w:sz w:val="20"/>
          <w:szCs w:val="20"/>
          <w:shd w:val="clear" w:color="auto" w:fill="FFFFFF"/>
          <w:lang w:val="es"/>
        </w:rPr>
        <w:t xml:space="preserve"> La violencia vicaria también puede afectar la salud mental de los niños, lo que puede afectar su capacidad para funcionar adecuadamente en la escuela y en la vida en general.</w:t>
      </w:r>
    </w:p>
    <w:p w14:paraId="0C5D5A00"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p>
    <w:p w14:paraId="74526FAA" w14:textId="77777777" w:rsidR="004F7052" w:rsidRPr="00E10543" w:rsidRDefault="004F7052" w:rsidP="00E10543">
      <w:pPr>
        <w:numPr>
          <w:ilvl w:val="0"/>
          <w:numId w:val="20"/>
        </w:numPr>
        <w:pBdr>
          <w:top w:val="nil"/>
          <w:left w:val="nil"/>
          <w:bottom w:val="nil"/>
          <w:right w:val="nil"/>
          <w:between w:val="nil"/>
        </w:pBdr>
        <w:spacing w:line="276" w:lineRule="auto"/>
        <w:ind w:left="426"/>
        <w:jc w:val="both"/>
        <w:rPr>
          <w:rFonts w:ascii="Century Gothic" w:hAnsi="Century Gothic" w:cs="Segoe UI"/>
          <w:sz w:val="20"/>
          <w:szCs w:val="20"/>
          <w:shd w:val="clear" w:color="auto" w:fill="FFFFFF"/>
          <w:lang w:val="es"/>
        </w:rPr>
      </w:pPr>
      <w:r w:rsidRPr="00E10543">
        <w:rPr>
          <w:rFonts w:ascii="Century Gothic" w:hAnsi="Century Gothic" w:cs="Segoe UI"/>
          <w:sz w:val="20"/>
          <w:szCs w:val="20"/>
          <w:u w:val="single"/>
          <w:shd w:val="clear" w:color="auto" w:fill="FFFFFF"/>
          <w:lang w:val="es"/>
        </w:rPr>
        <w:t>Problemas de adaptación</w:t>
      </w:r>
      <w:r w:rsidRPr="00E10543">
        <w:rPr>
          <w:rFonts w:ascii="Century Gothic" w:hAnsi="Century Gothic" w:cs="Segoe UI"/>
          <w:sz w:val="20"/>
          <w:szCs w:val="20"/>
          <w:shd w:val="clear" w:color="auto" w:fill="FFFFFF"/>
          <w:lang w:val="es"/>
        </w:rPr>
        <w:t>: La violencia vicaria también puede afectar la capacidad de los niños para adaptarse a nuevas situaciones y desafíos. Los niños que experimentan violencia vicaria pueden ser más propensos a tener problemas de conducta en la adolescencia y la adultez.</w:t>
      </w:r>
    </w:p>
    <w:p w14:paraId="38A08EE7" w14:textId="77777777" w:rsidR="004F7052" w:rsidRPr="00E10543" w:rsidRDefault="004F7052" w:rsidP="00E10543">
      <w:pPr>
        <w:pBdr>
          <w:top w:val="nil"/>
          <w:left w:val="nil"/>
          <w:bottom w:val="nil"/>
          <w:right w:val="nil"/>
          <w:between w:val="nil"/>
        </w:pBdr>
        <w:spacing w:line="276" w:lineRule="auto"/>
        <w:ind w:left="426"/>
        <w:jc w:val="both"/>
        <w:rPr>
          <w:rFonts w:ascii="Century Gothic" w:hAnsi="Century Gothic" w:cs="Segoe UI"/>
          <w:sz w:val="20"/>
          <w:szCs w:val="20"/>
          <w:shd w:val="clear" w:color="auto" w:fill="FFFFFF"/>
        </w:rPr>
      </w:pPr>
    </w:p>
    <w:p w14:paraId="0CEB0ABE" w14:textId="2EA86D23" w:rsidR="004F7052" w:rsidRPr="00E10543" w:rsidRDefault="004F7052" w:rsidP="002C1CA8">
      <w:pPr>
        <w:spacing w:line="276" w:lineRule="auto"/>
        <w:jc w:val="both"/>
        <w:rPr>
          <w:rFonts w:ascii="Century Gothic" w:hAnsi="Century Gothic"/>
          <w:b/>
          <w:sz w:val="20"/>
          <w:szCs w:val="20"/>
        </w:rPr>
      </w:pPr>
      <w:r w:rsidRPr="00E10543">
        <w:rPr>
          <w:rFonts w:ascii="Century Gothic" w:hAnsi="Century Gothic"/>
          <w:b/>
          <w:sz w:val="20"/>
          <w:szCs w:val="20"/>
        </w:rPr>
        <w:t>CONTEXTO DE VIOLENCIA VICARIA EN COLOMBIA</w:t>
      </w:r>
    </w:p>
    <w:p w14:paraId="3007D3AC" w14:textId="77777777" w:rsidR="004F7052" w:rsidRPr="00E10543" w:rsidRDefault="004F7052" w:rsidP="00E10543">
      <w:pPr>
        <w:spacing w:line="276" w:lineRule="auto"/>
        <w:ind w:left="426"/>
        <w:jc w:val="both"/>
        <w:rPr>
          <w:rFonts w:ascii="Century Gothic" w:hAnsi="Century Gothic"/>
          <w:b/>
          <w:sz w:val="20"/>
          <w:szCs w:val="20"/>
        </w:rPr>
      </w:pPr>
      <w:r w:rsidRPr="00E10543">
        <w:rPr>
          <w:rFonts w:ascii="Century Gothic" w:hAnsi="Century Gothic"/>
          <w:b/>
          <w:sz w:val="20"/>
          <w:szCs w:val="20"/>
        </w:rPr>
        <w:t xml:space="preserve"> </w:t>
      </w:r>
    </w:p>
    <w:p w14:paraId="37502D40" w14:textId="64CAA379" w:rsidR="004F7052" w:rsidRPr="00E10543" w:rsidRDefault="004F7052" w:rsidP="00E10543">
      <w:pPr>
        <w:spacing w:line="276" w:lineRule="auto"/>
        <w:ind w:left="426"/>
        <w:jc w:val="both"/>
        <w:rPr>
          <w:rFonts w:ascii="Century Gothic" w:hAnsi="Century Gothic"/>
          <w:sz w:val="20"/>
          <w:szCs w:val="20"/>
        </w:rPr>
      </w:pPr>
      <w:r w:rsidRPr="00E10543">
        <w:rPr>
          <w:rFonts w:ascii="Century Gothic" w:hAnsi="Century Gothic"/>
          <w:sz w:val="20"/>
          <w:szCs w:val="20"/>
        </w:rPr>
        <w:t xml:space="preserve">La violencia vicaria no es reconocida en el marco jurídico colombiano, por lo tanto, no hay registros que permitan identificar la magnitud del problema en Colombia. No obstante, en este apartado hablaremos de algunos casos en Colombia y de cifras de otros tipos de violencia que en ocasiones implican violencia vicaria. </w:t>
      </w:r>
    </w:p>
    <w:p w14:paraId="4CEE4574" w14:textId="77777777" w:rsidR="004F7052" w:rsidRPr="00E10543" w:rsidRDefault="004F7052" w:rsidP="00E10543">
      <w:pPr>
        <w:spacing w:line="276" w:lineRule="auto"/>
        <w:ind w:left="426"/>
        <w:jc w:val="both"/>
        <w:rPr>
          <w:rFonts w:ascii="Century Gothic" w:hAnsi="Century Gothic"/>
          <w:sz w:val="20"/>
          <w:szCs w:val="20"/>
        </w:rPr>
      </w:pPr>
    </w:p>
    <w:p w14:paraId="76B9E217" w14:textId="777D486B" w:rsidR="004F7052" w:rsidRPr="00E10543" w:rsidRDefault="004F7052" w:rsidP="00E10543">
      <w:pPr>
        <w:spacing w:line="276" w:lineRule="auto"/>
        <w:ind w:left="426"/>
        <w:jc w:val="both"/>
        <w:rPr>
          <w:rFonts w:ascii="Century Gothic" w:hAnsi="Century Gothic"/>
          <w:sz w:val="20"/>
          <w:szCs w:val="20"/>
        </w:rPr>
      </w:pPr>
      <w:r w:rsidRPr="00E10543">
        <w:rPr>
          <w:rFonts w:ascii="Century Gothic" w:hAnsi="Century Gothic"/>
          <w:b/>
          <w:sz w:val="20"/>
          <w:szCs w:val="20"/>
        </w:rPr>
        <w:t xml:space="preserve">CASOS: </w:t>
      </w:r>
    </w:p>
    <w:p w14:paraId="542371A8" w14:textId="77777777" w:rsidR="004F7052" w:rsidRPr="00E10543" w:rsidRDefault="004F7052" w:rsidP="00E10543">
      <w:pPr>
        <w:spacing w:line="276" w:lineRule="auto"/>
        <w:ind w:left="426"/>
        <w:jc w:val="both"/>
        <w:rPr>
          <w:rFonts w:ascii="Century Gothic" w:hAnsi="Century Gothic"/>
          <w:sz w:val="20"/>
          <w:szCs w:val="20"/>
        </w:rPr>
      </w:pPr>
    </w:p>
    <w:p w14:paraId="146BC3C4" w14:textId="6843E36D" w:rsidR="004F7052" w:rsidRPr="00E10543" w:rsidRDefault="004F7052" w:rsidP="00E10543">
      <w:pPr>
        <w:numPr>
          <w:ilvl w:val="0"/>
          <w:numId w:val="30"/>
        </w:numPr>
        <w:spacing w:line="276" w:lineRule="auto"/>
        <w:ind w:left="426" w:hanging="283"/>
        <w:jc w:val="both"/>
        <w:rPr>
          <w:rFonts w:ascii="Century Gothic" w:hAnsi="Century Gothic"/>
          <w:sz w:val="20"/>
          <w:szCs w:val="20"/>
        </w:rPr>
      </w:pPr>
      <w:r w:rsidRPr="00E10543">
        <w:rPr>
          <w:rFonts w:ascii="Century Gothic" w:hAnsi="Century Gothic"/>
          <w:b/>
          <w:color w:val="2D2D2D"/>
          <w:sz w:val="20"/>
          <w:szCs w:val="20"/>
          <w:highlight w:val="white"/>
        </w:rPr>
        <w:t>Sente</w:t>
      </w:r>
      <w:r w:rsidRPr="00E10543">
        <w:rPr>
          <w:rFonts w:ascii="Century Gothic" w:hAnsi="Century Gothic"/>
          <w:b/>
          <w:sz w:val="20"/>
          <w:szCs w:val="20"/>
        </w:rPr>
        <w:t>ncia T- 172 DE 2023:</w:t>
      </w:r>
      <w:r w:rsidRPr="00E10543">
        <w:rPr>
          <w:rFonts w:ascii="Century Gothic" w:hAnsi="Century Gothic"/>
          <w:sz w:val="20"/>
          <w:szCs w:val="20"/>
        </w:rPr>
        <w:t xml:space="preserve"> En </w:t>
      </w:r>
      <w:r w:rsidR="00EA6409" w:rsidRPr="00E10543">
        <w:rPr>
          <w:rFonts w:ascii="Century Gothic" w:hAnsi="Century Gothic"/>
          <w:sz w:val="20"/>
          <w:szCs w:val="20"/>
        </w:rPr>
        <w:t>esta</w:t>
      </w:r>
      <w:r w:rsidRPr="00E10543">
        <w:rPr>
          <w:rFonts w:ascii="Century Gothic" w:hAnsi="Century Gothic"/>
          <w:sz w:val="20"/>
          <w:szCs w:val="20"/>
        </w:rPr>
        <w:t xml:space="preserve"> sentencia la Sala Cuarta de Revisión de la Corte Constitucional estableció una definición y alcance de diferentes formas de violencia de género, entre ellas la violencia psicológica, económica y vicaria y la violencia institucional. Por violencia vicaria la Corte entendió </w:t>
      </w:r>
      <w:r w:rsidR="00EA6409" w:rsidRPr="00E10543">
        <w:rPr>
          <w:rFonts w:ascii="Century Gothic" w:hAnsi="Century Gothic"/>
          <w:i/>
          <w:sz w:val="20"/>
          <w:szCs w:val="20"/>
        </w:rPr>
        <w:t>“cualquier</w:t>
      </w:r>
      <w:r w:rsidRPr="00E10543">
        <w:rPr>
          <w:rFonts w:ascii="Century Gothic" w:hAnsi="Century Gothic"/>
          <w:i/>
          <w:sz w:val="20"/>
          <w:szCs w:val="20"/>
        </w:rPr>
        <w:t xml:space="preserve"> acción u omisión que genere daño físico, psicológico, emocional, sexual, patrimonial o de cualquier índole a familiares, dependientes o personas afectivamente significativas para la mujer con el objetivo de causarle daño. Se trata de una violencia indirecta que tiene como fin afligir a una persona instrumentalizando a un tercero, especialmente a un niño. Es otra forma de violencia que se ha convertido en la antesala de un feminicidio.”. </w:t>
      </w:r>
    </w:p>
    <w:p w14:paraId="191175B6" w14:textId="77777777" w:rsidR="004F7052" w:rsidRPr="00E10543" w:rsidRDefault="004F7052" w:rsidP="00E10543">
      <w:pPr>
        <w:spacing w:line="276" w:lineRule="auto"/>
        <w:ind w:left="426"/>
        <w:jc w:val="both"/>
        <w:rPr>
          <w:rFonts w:ascii="Century Gothic" w:hAnsi="Century Gothic"/>
          <w:sz w:val="20"/>
          <w:szCs w:val="20"/>
        </w:rPr>
      </w:pPr>
    </w:p>
    <w:p w14:paraId="4D311692" w14:textId="77777777" w:rsidR="004F7052" w:rsidRPr="00E10543" w:rsidRDefault="004F7052" w:rsidP="00E10543">
      <w:pPr>
        <w:numPr>
          <w:ilvl w:val="0"/>
          <w:numId w:val="30"/>
        </w:numPr>
        <w:spacing w:line="276" w:lineRule="auto"/>
        <w:ind w:left="426" w:hanging="283"/>
        <w:jc w:val="both"/>
        <w:rPr>
          <w:rFonts w:ascii="Century Gothic" w:hAnsi="Century Gothic"/>
          <w:sz w:val="20"/>
          <w:szCs w:val="20"/>
        </w:rPr>
      </w:pPr>
      <w:r w:rsidRPr="00E10543">
        <w:rPr>
          <w:rFonts w:ascii="Century Gothic" w:hAnsi="Century Gothic"/>
          <w:b/>
          <w:sz w:val="20"/>
          <w:szCs w:val="20"/>
        </w:rPr>
        <w:t>Sentencia T-245A de 22022</w:t>
      </w:r>
      <w:r w:rsidRPr="00E10543">
        <w:rPr>
          <w:rFonts w:ascii="Century Gothic" w:hAnsi="Century Gothic"/>
          <w:sz w:val="20"/>
          <w:szCs w:val="20"/>
        </w:rPr>
        <w:t>: La Sala Cuarta de Revisión de la Corte Constitucional en el año 2022, en ejercicio de sus competencias constitucionales y legales, decide sobre la solicitud de tutela presentada por un padre, en representación de su hijo menor de edad, en contra de la madre del niño, para que le fueran protegidos sus derechos fundamentales a la intimidad, al buen nombre, al libre desarrollo de la personalidad y a la prevalencia de los derechos. El solicitante estimó que dichas garantías han sido vulneradas porque la accionada publica fotografías y videos con su hijo en sus redes sociales, las cuales, al estar asociadas a su cuenta de OnlyFans, pueden exponerlo a los riesgos que implica el entorno digital. Destacó el actor que el niño le ha manifestado que no le gusta aparecer en los contenidos que la progenitora sube a las redes sociales.</w:t>
      </w:r>
    </w:p>
    <w:p w14:paraId="24B16B1F" w14:textId="77777777" w:rsidR="004F7052" w:rsidRPr="00E10543" w:rsidRDefault="004F7052" w:rsidP="00E10543">
      <w:pPr>
        <w:pStyle w:val="Prrafodelista"/>
        <w:spacing w:line="276" w:lineRule="auto"/>
        <w:ind w:left="426"/>
        <w:rPr>
          <w:rFonts w:ascii="Century Gothic" w:hAnsi="Century Gothic"/>
          <w:sz w:val="20"/>
          <w:szCs w:val="20"/>
        </w:rPr>
      </w:pPr>
    </w:p>
    <w:p w14:paraId="0AD519C4" w14:textId="7096330B" w:rsidR="004F7052" w:rsidRPr="00E10543" w:rsidRDefault="004F7052" w:rsidP="00E10543">
      <w:pPr>
        <w:spacing w:line="276" w:lineRule="auto"/>
        <w:ind w:left="426"/>
        <w:jc w:val="both"/>
        <w:rPr>
          <w:rFonts w:ascii="Century Gothic" w:hAnsi="Century Gothic"/>
          <w:sz w:val="20"/>
          <w:szCs w:val="20"/>
        </w:rPr>
      </w:pPr>
      <w:r w:rsidRPr="00E10543">
        <w:rPr>
          <w:rFonts w:ascii="Century Gothic" w:hAnsi="Century Gothic"/>
          <w:sz w:val="20"/>
          <w:szCs w:val="20"/>
        </w:rPr>
        <w:t>Durante el trámite, la Corte recibió un concepto del equipo técnico interdisciplinario de la Defensoría de Familia, que valoró al niño y concluyó que no se le vulneraban sus derechos por parte de la madre, que los padres tienen dificultades para resolver sus problemas sin involucrar al niño y que hay una falta de límites en relación con la información que se le suministra. Con este concepto, la sala hizo uso de sus facultades y valoró dos problemas jurídicos: El primero, buscó establecer si existió la vulneración de los derechos que fueron señalados en la solicitud de tutela y el segundo, consistió en verificar si se le vulneran otros derechos al niño a partir de los hechos evidenciados.</w:t>
      </w:r>
    </w:p>
    <w:p w14:paraId="2C4A1B2B" w14:textId="77777777" w:rsidR="004F7052" w:rsidRPr="00E10543" w:rsidRDefault="004F7052" w:rsidP="00E10543">
      <w:pPr>
        <w:spacing w:line="276" w:lineRule="auto"/>
        <w:ind w:left="426"/>
        <w:jc w:val="both"/>
        <w:rPr>
          <w:rFonts w:ascii="Century Gothic" w:hAnsi="Century Gothic"/>
          <w:sz w:val="20"/>
          <w:szCs w:val="20"/>
        </w:rPr>
      </w:pPr>
    </w:p>
    <w:p w14:paraId="3201057B" w14:textId="25CFC66F" w:rsidR="004F7052" w:rsidRPr="002C1CA8" w:rsidRDefault="004F7052" w:rsidP="002C1CA8">
      <w:pPr>
        <w:spacing w:line="276" w:lineRule="auto"/>
        <w:ind w:left="709" w:right="616"/>
        <w:jc w:val="both"/>
        <w:rPr>
          <w:rFonts w:ascii="Century Gothic" w:hAnsi="Century Gothic"/>
          <w:i/>
          <w:color w:val="2D2D2D"/>
          <w:sz w:val="18"/>
          <w:szCs w:val="20"/>
        </w:rPr>
      </w:pPr>
      <w:r w:rsidRPr="002C1CA8">
        <w:rPr>
          <w:rFonts w:ascii="Century Gothic" w:hAnsi="Century Gothic"/>
          <w:i/>
          <w:sz w:val="18"/>
          <w:szCs w:val="20"/>
        </w:rPr>
        <w:t xml:space="preserve">“La Sala consideró que la manipulación de los hijos por uno de los padres divorciados o separados no solo constituye violencia </w:t>
      </w:r>
      <w:r w:rsidR="00EA6409" w:rsidRPr="002C1CA8">
        <w:rPr>
          <w:rFonts w:ascii="Century Gothic" w:hAnsi="Century Gothic"/>
          <w:i/>
          <w:sz w:val="18"/>
          <w:szCs w:val="20"/>
        </w:rPr>
        <w:t>psicológica,</w:t>
      </w:r>
      <w:r w:rsidRPr="002C1CA8">
        <w:rPr>
          <w:rFonts w:ascii="Century Gothic" w:hAnsi="Century Gothic"/>
          <w:i/>
          <w:sz w:val="18"/>
          <w:szCs w:val="20"/>
        </w:rPr>
        <w:t xml:space="preserve"> sino que también puede, en determinados escenarios, convertirlos en instrumentos para ejercer violencia vicaria. Además, esta situación constituye una injerencia arbitraria en el nuevo núcleo familiar monoparental que surge, y una vulneración de los derechos de los niños y niñas a la intimidad familiar y a vivir en un ambiente sano.</w:t>
      </w:r>
    </w:p>
    <w:p w14:paraId="6C3C16BF" w14:textId="77777777" w:rsidR="004F7052" w:rsidRPr="002C1CA8" w:rsidRDefault="004F7052" w:rsidP="002C1CA8">
      <w:pPr>
        <w:spacing w:line="276" w:lineRule="auto"/>
        <w:ind w:left="709" w:right="616"/>
        <w:jc w:val="both"/>
        <w:rPr>
          <w:rFonts w:ascii="Century Gothic" w:hAnsi="Century Gothic"/>
          <w:i/>
          <w:color w:val="2D2D2D"/>
          <w:sz w:val="18"/>
          <w:szCs w:val="20"/>
        </w:rPr>
      </w:pPr>
    </w:p>
    <w:p w14:paraId="5841A023" w14:textId="0845E767" w:rsidR="004F7052" w:rsidRPr="002C1CA8" w:rsidRDefault="004F7052" w:rsidP="002C1CA8">
      <w:pPr>
        <w:spacing w:line="276" w:lineRule="auto"/>
        <w:ind w:left="709" w:right="616"/>
        <w:jc w:val="both"/>
        <w:rPr>
          <w:rFonts w:ascii="Century Gothic" w:hAnsi="Century Gothic"/>
          <w:i/>
          <w:sz w:val="18"/>
          <w:szCs w:val="20"/>
        </w:rPr>
      </w:pPr>
      <w:r w:rsidRPr="002C1CA8">
        <w:rPr>
          <w:rFonts w:ascii="Century Gothic" w:hAnsi="Century Gothic"/>
          <w:i/>
          <w:sz w:val="18"/>
          <w:szCs w:val="20"/>
        </w:rPr>
        <w:lastRenderedPageBreak/>
        <w:t>(...) En el caso concreto, consideró que frente al primer problema jurídico no se vulneraron los derechos fundamentales del niño, porque en el expediente no obra ninguna prueba que permita evidenciar que la accionada haya ejercido en forma desproporcionada su derecho a la libertad de expresión o que haya adelantado acciones que desconozcan la libre opinión del niño en relación con su proyecto de vida o de alguna manera frustren la construcción de su identidad personal. Por el contrario, encontró que sus conductas se limitan a expresar en espacios virtuales de carácter semipúblico manifestaciones de amor y cariño propios de una madre hacia su hijo. Sin embargo, la Sala le solicitó a la accionada que en el evento de que el menor de edad exprese libremente su negativa a que su imagen sea expuesta en las redes sociales de esta, proceda a darle prevalencia a la voluntad de su hijo sobre la propia.</w:t>
      </w:r>
    </w:p>
    <w:p w14:paraId="68A93734" w14:textId="77777777" w:rsidR="004F7052" w:rsidRPr="002C1CA8" w:rsidRDefault="004F7052" w:rsidP="002C1CA8">
      <w:pPr>
        <w:spacing w:line="276" w:lineRule="auto"/>
        <w:ind w:left="709" w:right="616"/>
        <w:jc w:val="both"/>
        <w:rPr>
          <w:rFonts w:ascii="Century Gothic" w:hAnsi="Century Gothic"/>
          <w:i/>
          <w:sz w:val="18"/>
          <w:szCs w:val="20"/>
        </w:rPr>
      </w:pPr>
    </w:p>
    <w:p w14:paraId="3EB7B396" w14:textId="77777777" w:rsidR="004F7052" w:rsidRPr="002C1CA8" w:rsidRDefault="004F7052" w:rsidP="002C1CA8">
      <w:pPr>
        <w:spacing w:line="276" w:lineRule="auto"/>
        <w:ind w:left="709" w:right="616"/>
        <w:jc w:val="both"/>
        <w:rPr>
          <w:rFonts w:ascii="Century Gothic" w:hAnsi="Century Gothic"/>
          <w:i/>
          <w:sz w:val="18"/>
          <w:szCs w:val="20"/>
        </w:rPr>
      </w:pPr>
      <w:r w:rsidRPr="002C1CA8">
        <w:rPr>
          <w:rFonts w:ascii="Century Gothic" w:hAnsi="Century Gothic"/>
          <w:i/>
          <w:sz w:val="18"/>
          <w:szCs w:val="20"/>
        </w:rPr>
        <w:t>(...)Frente al segundo problema jurídico, en primer lugar, consideró que con la publicación de las fotografías y los videos en los que aparece la madre con su hijo, no se vulneró el derecho a la imagen del niño, pues no se advierte un obrar ilícito o arbitrario de la accionada. Además, señaló que aunque, en principio, no se constata una sobreexposición de la imagen del niño en las redes sociales de la madre, sí se observa que dichos espacios virtuales son visitados por una gran cantidad de personas. Por lo tanto, consideró necesario ordenarle que antes de realizar una publicación que involucre a su hijo, valore los riesgos y las amenazas que se generan con la exposición de su imagen en las redes sociales que utiliza.</w:t>
      </w:r>
    </w:p>
    <w:p w14:paraId="28715856" w14:textId="77777777" w:rsidR="004F7052" w:rsidRPr="002C1CA8" w:rsidRDefault="004F7052" w:rsidP="002C1CA8">
      <w:pPr>
        <w:spacing w:line="276" w:lineRule="auto"/>
        <w:ind w:left="709" w:right="616"/>
        <w:jc w:val="both"/>
        <w:rPr>
          <w:rFonts w:ascii="Century Gothic" w:hAnsi="Century Gothic"/>
          <w:i/>
          <w:sz w:val="18"/>
          <w:szCs w:val="20"/>
        </w:rPr>
      </w:pPr>
    </w:p>
    <w:p w14:paraId="7EE290B8" w14:textId="77777777" w:rsidR="004F7052" w:rsidRPr="00E10543" w:rsidRDefault="004F7052" w:rsidP="002C1CA8">
      <w:pPr>
        <w:spacing w:line="276" w:lineRule="auto"/>
        <w:ind w:left="709" w:right="616"/>
        <w:jc w:val="both"/>
        <w:rPr>
          <w:rFonts w:ascii="Century Gothic" w:hAnsi="Century Gothic"/>
          <w:sz w:val="20"/>
          <w:szCs w:val="20"/>
        </w:rPr>
      </w:pPr>
      <w:r w:rsidRPr="002C1CA8">
        <w:rPr>
          <w:rFonts w:ascii="Century Gothic" w:hAnsi="Century Gothic"/>
          <w:i/>
          <w:sz w:val="18"/>
          <w:szCs w:val="20"/>
        </w:rPr>
        <w:t>En segundo lugar, concluyó que se vulneraron los derechos al ambiente familiar sano y a la dignidad humana del niño por la forma conflictiva en que los progenitores han asumido la ruptura, involucrando en sus desacuerdos a su hijo. Además, que se vulneraron sus derechos a no padecer injerencias arbitrarias en la familia, a la intimidad familiar y a no padecer violencia psicológica, porque el padre le suministró al niño una información que contiene datos sensibles y personales de la accionada. Situación esta que, dentro del contexto conflictivo de la pareja, constituye una manipulación del niño con la intención de alterar el concepto que tiene de su progenitora y ejercer violencia vicaria en contra de esta.”</w:t>
      </w:r>
    </w:p>
    <w:p w14:paraId="6503C51D" w14:textId="77777777" w:rsidR="004F7052" w:rsidRPr="00E10543" w:rsidRDefault="004F7052" w:rsidP="00E10543">
      <w:pPr>
        <w:spacing w:line="276" w:lineRule="auto"/>
        <w:ind w:left="426"/>
        <w:jc w:val="both"/>
        <w:rPr>
          <w:rFonts w:ascii="Century Gothic" w:hAnsi="Century Gothic"/>
          <w:sz w:val="20"/>
          <w:szCs w:val="20"/>
        </w:rPr>
      </w:pPr>
    </w:p>
    <w:p w14:paraId="7DB2CD30" w14:textId="7A77A875" w:rsidR="004F7052" w:rsidRPr="00EA6409" w:rsidRDefault="004F7052" w:rsidP="00915E0C">
      <w:pPr>
        <w:pStyle w:val="Prrafodelista"/>
        <w:numPr>
          <w:ilvl w:val="0"/>
          <w:numId w:val="39"/>
        </w:numPr>
        <w:spacing w:line="276" w:lineRule="auto"/>
        <w:ind w:left="426"/>
        <w:jc w:val="both"/>
        <w:rPr>
          <w:rFonts w:ascii="Century Gothic" w:hAnsi="Century Gothic"/>
          <w:sz w:val="20"/>
          <w:szCs w:val="20"/>
        </w:rPr>
      </w:pPr>
      <w:r w:rsidRPr="00EA6409">
        <w:rPr>
          <w:rFonts w:ascii="Century Gothic" w:hAnsi="Century Gothic"/>
          <w:sz w:val="20"/>
          <w:szCs w:val="20"/>
        </w:rPr>
        <w:t>El sábado 1 de octubre del año 2022, el niño Gabriel Esteban fue asesinado por su padre, Gabriel Enrique González, en un hotel de Melgar.</w:t>
      </w:r>
      <w:r w:rsidR="00EA6409" w:rsidRPr="00EA6409">
        <w:rPr>
          <w:rFonts w:ascii="Century Gothic" w:hAnsi="Century Gothic"/>
          <w:sz w:val="20"/>
          <w:szCs w:val="20"/>
        </w:rPr>
        <w:t xml:space="preserve"> </w:t>
      </w:r>
      <w:r w:rsidRPr="00EA6409">
        <w:rPr>
          <w:rFonts w:ascii="Century Gothic" w:hAnsi="Century Gothic"/>
          <w:sz w:val="20"/>
          <w:szCs w:val="20"/>
        </w:rPr>
        <w:t>Según las primeras versiones de los hechos, fue un acto de venganza en contra de la madre del niño, ya que hace un tiempo se había separado de González y luego consiguió una nueva pareja.</w:t>
      </w:r>
    </w:p>
    <w:p w14:paraId="1F5499C2" w14:textId="77777777" w:rsidR="004F7052" w:rsidRPr="00E10543" w:rsidRDefault="004F7052" w:rsidP="00E10543">
      <w:pPr>
        <w:pStyle w:val="Prrafodelista"/>
        <w:spacing w:line="276" w:lineRule="auto"/>
        <w:ind w:left="426"/>
        <w:jc w:val="both"/>
        <w:rPr>
          <w:rFonts w:ascii="Century Gothic" w:hAnsi="Century Gothic"/>
          <w:sz w:val="20"/>
          <w:szCs w:val="20"/>
        </w:rPr>
      </w:pPr>
    </w:p>
    <w:p w14:paraId="462CF916" w14:textId="77777777" w:rsidR="004F7052" w:rsidRPr="00E10543" w:rsidRDefault="004F7052" w:rsidP="00E10543">
      <w:pPr>
        <w:pStyle w:val="Prrafodelista"/>
        <w:spacing w:line="276" w:lineRule="auto"/>
        <w:ind w:left="426"/>
        <w:jc w:val="both"/>
        <w:rPr>
          <w:rFonts w:ascii="Century Gothic" w:hAnsi="Century Gothic"/>
          <w:sz w:val="20"/>
          <w:szCs w:val="20"/>
        </w:rPr>
      </w:pPr>
      <w:r w:rsidRPr="00E10543">
        <w:rPr>
          <w:rFonts w:ascii="Century Gothic" w:hAnsi="Century Gothic"/>
          <w:sz w:val="20"/>
          <w:szCs w:val="20"/>
        </w:rPr>
        <w:t>En el caso del pequeño Gabriel se pueden evidenciar algunas manifestaciones de la violencia vicaria. Por ejemplo, los mensajes de WhatsApp y la foto de Gabriel que le envió González a Consuelo Rodríguez, madre del niño. “Hora de fallecimiento 3:55 A.M. asfixia mecánica, no sufrió, ahora si puede disfrutar sola con Edilson y Wesly sin tricitico ni mucho menos yo. Felicidades”, decía uno de los mensajes.</w:t>
      </w:r>
    </w:p>
    <w:p w14:paraId="13938603" w14:textId="77777777" w:rsidR="004F7052" w:rsidRPr="00E10543" w:rsidRDefault="004F7052" w:rsidP="00E10543">
      <w:pPr>
        <w:pStyle w:val="Prrafodelista"/>
        <w:spacing w:line="276" w:lineRule="auto"/>
        <w:ind w:left="426"/>
        <w:jc w:val="both"/>
        <w:rPr>
          <w:rFonts w:ascii="Century Gothic" w:hAnsi="Century Gothic"/>
          <w:sz w:val="20"/>
          <w:szCs w:val="20"/>
        </w:rPr>
      </w:pPr>
    </w:p>
    <w:p w14:paraId="5A1077D9" w14:textId="77777777" w:rsidR="004F7052" w:rsidRPr="00E10543" w:rsidRDefault="004F7052" w:rsidP="00E10543">
      <w:pPr>
        <w:pStyle w:val="Prrafodelista"/>
        <w:spacing w:line="276" w:lineRule="auto"/>
        <w:ind w:left="426"/>
        <w:jc w:val="both"/>
        <w:rPr>
          <w:rFonts w:ascii="Century Gothic" w:hAnsi="Century Gothic"/>
          <w:sz w:val="20"/>
          <w:szCs w:val="20"/>
        </w:rPr>
      </w:pPr>
      <w:r w:rsidRPr="00E10543">
        <w:rPr>
          <w:rFonts w:ascii="Century Gothic" w:hAnsi="Century Gothic"/>
          <w:sz w:val="20"/>
          <w:szCs w:val="20"/>
        </w:rPr>
        <w:t>Consuelo Rodríguez había denunciado a Gabriel Enrique González ante la Comisaría de Familia de la localidad de Usme por violencia intrafamiliar, pero las medidas de protección sólo fueron aplicadas para ella y no para el menor.</w:t>
      </w:r>
      <w:r w:rsidRPr="00E10543">
        <w:rPr>
          <w:rFonts w:ascii="Century Gothic" w:hAnsi="Century Gothic"/>
          <w:sz w:val="20"/>
          <w:szCs w:val="20"/>
          <w:vertAlign w:val="superscript"/>
        </w:rPr>
        <w:footnoteReference w:id="10"/>
      </w:r>
    </w:p>
    <w:p w14:paraId="39A9E3AE" w14:textId="77777777" w:rsidR="004F7052" w:rsidRPr="00E10543" w:rsidRDefault="004F7052" w:rsidP="00E10543">
      <w:pPr>
        <w:pStyle w:val="Prrafodelista"/>
        <w:spacing w:line="276" w:lineRule="auto"/>
        <w:ind w:left="426"/>
        <w:jc w:val="both"/>
        <w:rPr>
          <w:rFonts w:ascii="Century Gothic" w:hAnsi="Century Gothic"/>
          <w:sz w:val="20"/>
          <w:szCs w:val="20"/>
        </w:rPr>
      </w:pPr>
    </w:p>
    <w:p w14:paraId="0BC17056" w14:textId="77777777" w:rsidR="004F7052" w:rsidRPr="00E10543" w:rsidRDefault="004F7052" w:rsidP="00E10543">
      <w:pPr>
        <w:pStyle w:val="Prrafodelista"/>
        <w:spacing w:line="276" w:lineRule="auto"/>
        <w:ind w:left="426"/>
        <w:jc w:val="both"/>
        <w:rPr>
          <w:rFonts w:ascii="Century Gothic" w:hAnsi="Century Gothic"/>
          <w:sz w:val="20"/>
          <w:szCs w:val="20"/>
        </w:rPr>
      </w:pPr>
      <w:r w:rsidRPr="00E10543">
        <w:rPr>
          <w:rFonts w:ascii="Century Gothic" w:hAnsi="Century Gothic"/>
          <w:sz w:val="20"/>
          <w:szCs w:val="20"/>
        </w:rPr>
        <w:t xml:space="preserve">Niña de ocho años, murió en la casa de su padre ubicada en el barrio La Granja, como consecuencia de cuatro puñaladas que éste le propinó. Armando Torres declaró a las autoridades que mató a su hija para vengarse de su ex esposa y madre de Samantha, Bertha Cecilia Reyes. El padre asesino, quien aspiraba morir junto con su hija, contó que ya había dejado una carta en la que manifestaba que había enviado tres mensajes a </w:t>
      </w:r>
      <w:r w:rsidRPr="00E10543">
        <w:rPr>
          <w:rFonts w:ascii="Century Gothic" w:hAnsi="Century Gothic"/>
          <w:sz w:val="20"/>
          <w:szCs w:val="20"/>
        </w:rPr>
        <w:lastRenderedPageBreak/>
        <w:t>la familia y al periódico El Espacio en las que relataba que todo lo había hecho por celos ya que su ex esposa tenía un amante</w:t>
      </w:r>
      <w:r w:rsidRPr="00E10543">
        <w:rPr>
          <w:rFonts w:ascii="Century Gothic" w:hAnsi="Century Gothic"/>
          <w:sz w:val="20"/>
          <w:szCs w:val="20"/>
          <w:vertAlign w:val="superscript"/>
        </w:rPr>
        <w:footnoteReference w:id="11"/>
      </w:r>
      <w:r w:rsidRPr="00E10543">
        <w:rPr>
          <w:rFonts w:ascii="Century Gothic" w:hAnsi="Century Gothic"/>
          <w:sz w:val="20"/>
          <w:szCs w:val="20"/>
        </w:rPr>
        <w:t>.</w:t>
      </w:r>
    </w:p>
    <w:p w14:paraId="26757018" w14:textId="77777777" w:rsidR="004F7052" w:rsidRPr="00E10543" w:rsidRDefault="004F7052" w:rsidP="00E10543">
      <w:pPr>
        <w:pStyle w:val="Prrafodelista"/>
        <w:spacing w:line="276" w:lineRule="auto"/>
        <w:ind w:left="426"/>
        <w:jc w:val="both"/>
        <w:rPr>
          <w:rFonts w:ascii="Century Gothic" w:hAnsi="Century Gothic"/>
          <w:sz w:val="20"/>
          <w:szCs w:val="20"/>
        </w:rPr>
      </w:pPr>
    </w:p>
    <w:p w14:paraId="289DBC5B" w14:textId="2B458E6B" w:rsidR="004F7052" w:rsidRPr="00E10543" w:rsidRDefault="004F7052" w:rsidP="00E10543">
      <w:pPr>
        <w:pStyle w:val="Prrafodelista"/>
        <w:spacing w:line="276" w:lineRule="auto"/>
        <w:ind w:left="426"/>
        <w:jc w:val="both"/>
        <w:rPr>
          <w:rFonts w:ascii="Century Gothic" w:hAnsi="Century Gothic"/>
          <w:sz w:val="20"/>
          <w:szCs w:val="20"/>
        </w:rPr>
      </w:pPr>
      <w:r w:rsidRPr="00E10543">
        <w:rPr>
          <w:rFonts w:ascii="Century Gothic" w:hAnsi="Century Gothic"/>
          <w:sz w:val="20"/>
          <w:szCs w:val="20"/>
        </w:rPr>
        <w:t xml:space="preserve">El filicidio y el feminicidio son delitos a los que puede acarrear una violencia vicaria.  </w:t>
      </w:r>
    </w:p>
    <w:p w14:paraId="464FAC33" w14:textId="03DC2CE1" w:rsidR="004F7052" w:rsidRDefault="004F7052" w:rsidP="00E10543">
      <w:pPr>
        <w:spacing w:line="276" w:lineRule="auto"/>
        <w:ind w:left="426"/>
        <w:jc w:val="both"/>
        <w:rPr>
          <w:rFonts w:ascii="Century Gothic" w:hAnsi="Century Gothic"/>
          <w:b/>
          <w:sz w:val="20"/>
          <w:szCs w:val="20"/>
        </w:rPr>
      </w:pPr>
    </w:p>
    <w:p w14:paraId="798E02C1" w14:textId="06FDAD6C" w:rsidR="004F7052" w:rsidRPr="00E10543" w:rsidRDefault="002C1CA8" w:rsidP="002C1CA8">
      <w:pPr>
        <w:spacing w:line="276" w:lineRule="auto"/>
        <w:jc w:val="both"/>
        <w:rPr>
          <w:rFonts w:ascii="Century Gothic" w:hAnsi="Century Gothic"/>
          <w:b/>
          <w:sz w:val="20"/>
          <w:szCs w:val="20"/>
        </w:rPr>
      </w:pPr>
      <w:r w:rsidRPr="00E10543">
        <w:rPr>
          <w:rFonts w:ascii="Century Gothic" w:hAnsi="Century Gothic"/>
          <w:b/>
          <w:sz w:val="20"/>
          <w:szCs w:val="20"/>
        </w:rPr>
        <w:t xml:space="preserve">CIFRAS </w:t>
      </w:r>
      <w:r>
        <w:rPr>
          <w:rFonts w:ascii="Century Gothic" w:hAnsi="Century Gothic"/>
          <w:b/>
          <w:sz w:val="20"/>
          <w:szCs w:val="20"/>
        </w:rPr>
        <w:t>EN COLOMBIA</w:t>
      </w:r>
    </w:p>
    <w:p w14:paraId="580CAB56" w14:textId="77777777" w:rsidR="004F7052" w:rsidRPr="00E10543" w:rsidRDefault="004F7052" w:rsidP="00E10543">
      <w:pPr>
        <w:spacing w:line="276" w:lineRule="auto"/>
        <w:ind w:left="426"/>
        <w:jc w:val="both"/>
        <w:rPr>
          <w:rFonts w:ascii="Century Gothic" w:hAnsi="Century Gothic"/>
          <w:b/>
          <w:sz w:val="20"/>
          <w:szCs w:val="20"/>
        </w:rPr>
      </w:pPr>
    </w:p>
    <w:p w14:paraId="7915DA94" w14:textId="369DF1BC" w:rsidR="004F7052" w:rsidRPr="00E10543" w:rsidRDefault="004F7052" w:rsidP="00E10543">
      <w:pPr>
        <w:pStyle w:val="Prrafodelista"/>
        <w:numPr>
          <w:ilvl w:val="0"/>
          <w:numId w:val="39"/>
        </w:numPr>
        <w:spacing w:line="276" w:lineRule="auto"/>
        <w:ind w:left="426"/>
        <w:jc w:val="both"/>
        <w:rPr>
          <w:rFonts w:ascii="Century Gothic" w:hAnsi="Century Gothic"/>
          <w:b/>
          <w:sz w:val="20"/>
          <w:szCs w:val="20"/>
        </w:rPr>
      </w:pPr>
      <w:r w:rsidRPr="00E10543">
        <w:rPr>
          <w:rFonts w:ascii="Century Gothic" w:hAnsi="Century Gothic"/>
          <w:b/>
          <w:sz w:val="20"/>
          <w:szCs w:val="20"/>
        </w:rPr>
        <w:t>Cifras del Instituto Nacional de Medicina Legal y Ciencias Forenses: Violencia no fatal en mujeres</w:t>
      </w:r>
    </w:p>
    <w:p w14:paraId="566F65E3" w14:textId="77777777" w:rsidR="004F7052" w:rsidRPr="00E10543" w:rsidRDefault="004F7052" w:rsidP="00E10543">
      <w:pPr>
        <w:spacing w:line="276" w:lineRule="auto"/>
        <w:ind w:left="426"/>
        <w:jc w:val="both"/>
        <w:rPr>
          <w:rFonts w:ascii="Century Gothic" w:hAnsi="Century Gothic"/>
          <w:sz w:val="20"/>
          <w:szCs w:val="20"/>
        </w:rPr>
      </w:pPr>
    </w:p>
    <w:p w14:paraId="0AA494B4" w14:textId="44B21356" w:rsidR="004F7052" w:rsidRDefault="004F7052" w:rsidP="00E10543">
      <w:pPr>
        <w:spacing w:line="276" w:lineRule="auto"/>
        <w:ind w:left="426"/>
        <w:jc w:val="both"/>
        <w:rPr>
          <w:rFonts w:ascii="Century Gothic" w:hAnsi="Century Gothic"/>
          <w:sz w:val="20"/>
          <w:szCs w:val="20"/>
        </w:rPr>
      </w:pPr>
      <w:r w:rsidRPr="00E10543">
        <w:rPr>
          <w:rFonts w:ascii="Century Gothic" w:hAnsi="Century Gothic"/>
          <w:sz w:val="20"/>
          <w:szCs w:val="20"/>
        </w:rPr>
        <w:t>El instituto Nacional de Medicina Legal y Ciencias Forenses establece como violencias no fatal en mujeres a la violencia ejercida por la pareja</w:t>
      </w:r>
      <w:r w:rsidRPr="00E10543">
        <w:rPr>
          <w:rFonts w:ascii="Century Gothic" w:hAnsi="Century Gothic"/>
          <w:sz w:val="20"/>
          <w:szCs w:val="20"/>
          <w:vertAlign w:val="superscript"/>
        </w:rPr>
        <w:footnoteReference w:id="12"/>
      </w:r>
      <w:r w:rsidRPr="00E10543">
        <w:rPr>
          <w:rFonts w:ascii="Century Gothic" w:hAnsi="Century Gothic"/>
          <w:sz w:val="20"/>
          <w:szCs w:val="20"/>
        </w:rPr>
        <w:t>, la interpersonal</w:t>
      </w:r>
      <w:r w:rsidRPr="00E10543">
        <w:rPr>
          <w:rFonts w:ascii="Century Gothic" w:hAnsi="Century Gothic"/>
          <w:sz w:val="20"/>
          <w:szCs w:val="20"/>
          <w:vertAlign w:val="superscript"/>
        </w:rPr>
        <w:footnoteReference w:id="13"/>
      </w:r>
      <w:r w:rsidRPr="00E10543">
        <w:rPr>
          <w:rFonts w:ascii="Century Gothic" w:hAnsi="Century Gothic"/>
          <w:sz w:val="20"/>
          <w:szCs w:val="20"/>
        </w:rPr>
        <w:t xml:space="preserve">, el presunto delito sexual y la violencia intrafamiliar: </w:t>
      </w:r>
    </w:p>
    <w:p w14:paraId="7E9C9E75" w14:textId="740BE483" w:rsidR="00EA6409" w:rsidRDefault="00EA6409" w:rsidP="00E10543">
      <w:pPr>
        <w:spacing w:line="276" w:lineRule="auto"/>
        <w:ind w:left="426"/>
        <w:jc w:val="both"/>
        <w:rPr>
          <w:rFonts w:ascii="Century Gothic" w:hAnsi="Century Gothic"/>
          <w:sz w:val="20"/>
          <w:szCs w:val="20"/>
        </w:rPr>
      </w:pPr>
    </w:p>
    <w:p w14:paraId="074A6563" w14:textId="77777777" w:rsidR="00EA6409" w:rsidRPr="00E10543" w:rsidRDefault="00EA6409" w:rsidP="00E10543">
      <w:pPr>
        <w:spacing w:line="276" w:lineRule="auto"/>
        <w:ind w:left="426"/>
        <w:jc w:val="both"/>
        <w:rPr>
          <w:rFonts w:ascii="Century Gothic" w:hAnsi="Century Gothic"/>
          <w:sz w:val="20"/>
          <w:szCs w:val="20"/>
        </w:rPr>
      </w:pPr>
    </w:p>
    <w:p w14:paraId="66E96BB2" w14:textId="77777777" w:rsidR="004F7052" w:rsidRPr="00E10543" w:rsidRDefault="004F7052" w:rsidP="00E10543">
      <w:pPr>
        <w:spacing w:line="276" w:lineRule="auto"/>
        <w:ind w:left="426"/>
        <w:jc w:val="center"/>
        <w:rPr>
          <w:rFonts w:ascii="Century Gothic" w:hAnsi="Century Gothic"/>
          <w:sz w:val="20"/>
          <w:szCs w:val="20"/>
        </w:rPr>
      </w:pPr>
      <w:r w:rsidRPr="00E10543">
        <w:rPr>
          <w:rFonts w:ascii="Century Gothic" w:hAnsi="Century Gothic"/>
          <w:noProof/>
          <w:sz w:val="20"/>
          <w:szCs w:val="20"/>
          <w:lang w:eastAsia="es-CO"/>
        </w:rPr>
        <w:drawing>
          <wp:inline distT="114300" distB="114300" distL="114300" distR="114300" wp14:anchorId="1B72D581" wp14:editId="35EA62AC">
            <wp:extent cx="4518025" cy="2905125"/>
            <wp:effectExtent l="0" t="0" r="0" b="9525"/>
            <wp:docPr id="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4538089" cy="2918026"/>
                    </a:xfrm>
                    <a:prstGeom prst="rect">
                      <a:avLst/>
                    </a:prstGeom>
                    <a:ln/>
                  </pic:spPr>
                </pic:pic>
              </a:graphicData>
            </a:graphic>
          </wp:inline>
        </w:drawing>
      </w:r>
    </w:p>
    <w:p w14:paraId="06A61633" w14:textId="77777777" w:rsidR="00EA6409" w:rsidRDefault="00EA6409" w:rsidP="00E10543">
      <w:pPr>
        <w:spacing w:line="276" w:lineRule="auto"/>
        <w:ind w:left="426"/>
        <w:rPr>
          <w:rFonts w:ascii="Century Gothic" w:hAnsi="Century Gothic"/>
          <w:i/>
          <w:sz w:val="16"/>
          <w:szCs w:val="20"/>
        </w:rPr>
      </w:pPr>
    </w:p>
    <w:p w14:paraId="23D56F3F" w14:textId="0683BAE8" w:rsidR="004F7052" w:rsidRPr="002C1CA8" w:rsidRDefault="004F7052" w:rsidP="00E10543">
      <w:pPr>
        <w:spacing w:line="276" w:lineRule="auto"/>
        <w:ind w:left="426"/>
        <w:rPr>
          <w:rFonts w:ascii="Century Gothic" w:hAnsi="Century Gothic"/>
          <w:i/>
          <w:sz w:val="16"/>
          <w:szCs w:val="20"/>
        </w:rPr>
      </w:pPr>
      <w:r w:rsidRPr="002C1CA8">
        <w:rPr>
          <w:rFonts w:ascii="Century Gothic" w:hAnsi="Century Gothic"/>
          <w:i/>
          <w:sz w:val="16"/>
          <w:szCs w:val="20"/>
        </w:rPr>
        <w:t>Fuente:CIFRAS PRESENTADAS POR MEDICINA LEGAL. Audiencia Pública Derechos de las mujeres y niñas en Colombia - Comisión mujer y Comisión DDHH. Marzo 17 de 2023</w:t>
      </w:r>
    </w:p>
    <w:p w14:paraId="4E1986B9" w14:textId="77777777" w:rsidR="004F7052" w:rsidRPr="002C1CA8" w:rsidRDefault="004F7052" w:rsidP="00E10543">
      <w:pPr>
        <w:spacing w:line="276" w:lineRule="auto"/>
        <w:ind w:left="426"/>
        <w:jc w:val="both"/>
        <w:rPr>
          <w:rFonts w:ascii="Century Gothic" w:hAnsi="Century Gothic"/>
          <w:i/>
          <w:sz w:val="16"/>
          <w:szCs w:val="20"/>
        </w:rPr>
      </w:pPr>
    </w:p>
    <w:p w14:paraId="445241F2" w14:textId="77777777" w:rsidR="004F7052" w:rsidRPr="00E10543" w:rsidRDefault="004F7052" w:rsidP="00E10543">
      <w:pPr>
        <w:spacing w:line="276" w:lineRule="auto"/>
        <w:ind w:left="426"/>
        <w:jc w:val="center"/>
        <w:rPr>
          <w:rFonts w:ascii="Century Gothic" w:hAnsi="Century Gothic"/>
          <w:color w:val="333333"/>
          <w:sz w:val="20"/>
          <w:szCs w:val="20"/>
          <w:highlight w:val="white"/>
        </w:rPr>
      </w:pPr>
      <w:r w:rsidRPr="00E10543">
        <w:rPr>
          <w:rFonts w:ascii="Century Gothic" w:hAnsi="Century Gothic"/>
          <w:noProof/>
          <w:color w:val="333333"/>
          <w:sz w:val="20"/>
          <w:szCs w:val="20"/>
          <w:highlight w:val="white"/>
          <w:lang w:eastAsia="es-CO"/>
        </w:rPr>
        <w:lastRenderedPageBreak/>
        <w:drawing>
          <wp:inline distT="114300" distB="114300" distL="114300" distR="114300" wp14:anchorId="7A958F64" wp14:editId="09415570">
            <wp:extent cx="4934310" cy="3148641"/>
            <wp:effectExtent l="0" t="0" r="0" b="0"/>
            <wp:docPr id="6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4956633" cy="3162885"/>
                    </a:xfrm>
                    <a:prstGeom prst="rect">
                      <a:avLst/>
                    </a:prstGeom>
                    <a:ln/>
                  </pic:spPr>
                </pic:pic>
              </a:graphicData>
            </a:graphic>
          </wp:inline>
        </w:drawing>
      </w:r>
    </w:p>
    <w:p w14:paraId="22B8B97B" w14:textId="25CB0744" w:rsidR="004F7052" w:rsidRPr="002C1CA8" w:rsidRDefault="004F7052" w:rsidP="00E10543">
      <w:pPr>
        <w:spacing w:line="276" w:lineRule="auto"/>
        <w:ind w:left="426"/>
        <w:jc w:val="both"/>
        <w:rPr>
          <w:rFonts w:ascii="Century Gothic" w:hAnsi="Century Gothic"/>
          <w:sz w:val="16"/>
          <w:szCs w:val="20"/>
        </w:rPr>
      </w:pPr>
      <w:r w:rsidRPr="002C1CA8">
        <w:rPr>
          <w:rFonts w:ascii="Century Gothic" w:hAnsi="Century Gothic"/>
          <w:i/>
          <w:sz w:val="16"/>
          <w:szCs w:val="20"/>
        </w:rPr>
        <w:t>Fuente:</w:t>
      </w:r>
      <w:r w:rsidR="002C1CA8" w:rsidRPr="002C1CA8">
        <w:rPr>
          <w:rFonts w:ascii="Century Gothic" w:hAnsi="Century Gothic"/>
          <w:i/>
          <w:sz w:val="16"/>
          <w:szCs w:val="20"/>
        </w:rPr>
        <w:t xml:space="preserve"> </w:t>
      </w:r>
      <w:r w:rsidRPr="002C1CA8">
        <w:rPr>
          <w:rFonts w:ascii="Century Gothic" w:hAnsi="Century Gothic"/>
          <w:i/>
          <w:sz w:val="16"/>
          <w:szCs w:val="20"/>
        </w:rPr>
        <w:t xml:space="preserve">CIFRAS PRESENTADAS POR MEDICINA LEGAL. Audiencia Pública Derechos de las mujeres y niñas en Colombia - Comisión mujer y Comisión DDHH. Marzo 17 de 2023. </w:t>
      </w:r>
    </w:p>
    <w:p w14:paraId="23B071FC" w14:textId="77777777" w:rsidR="004F7052" w:rsidRPr="00E10543" w:rsidRDefault="004F7052" w:rsidP="00E10543">
      <w:pPr>
        <w:spacing w:line="276" w:lineRule="auto"/>
        <w:ind w:left="426"/>
        <w:jc w:val="both"/>
        <w:rPr>
          <w:rFonts w:ascii="Century Gothic" w:hAnsi="Century Gothic"/>
          <w:sz w:val="20"/>
          <w:szCs w:val="20"/>
        </w:rPr>
      </w:pPr>
    </w:p>
    <w:p w14:paraId="4311A345" w14:textId="6E749F1B" w:rsidR="004F7052" w:rsidRPr="00E10543" w:rsidRDefault="004F7052" w:rsidP="00E10543">
      <w:pPr>
        <w:spacing w:line="276" w:lineRule="auto"/>
        <w:ind w:left="426"/>
        <w:jc w:val="both"/>
        <w:rPr>
          <w:rFonts w:ascii="Century Gothic" w:hAnsi="Century Gothic"/>
          <w:sz w:val="20"/>
          <w:szCs w:val="20"/>
        </w:rPr>
      </w:pPr>
      <w:r w:rsidRPr="00E10543">
        <w:rPr>
          <w:rFonts w:ascii="Century Gothic" w:hAnsi="Century Gothic"/>
          <w:sz w:val="20"/>
          <w:szCs w:val="20"/>
        </w:rPr>
        <w:t xml:space="preserve">Teniendo en cuenta lo anterior, desarrollaremos con más profundidad la violencia intrafamiliar. Entre el 1 de enero y el 30 de diciembre de 2022 el INML-CF realizó 61.672 exámenes médico legales a personas que fueron víctimas de violencia intrafamiliar. De estos, 41.184 fueron de pareja, lo cual representa el 66.78% de las violencias: 35.657 corresponden a mujeres (es decir, el 57.81%), y 5.519 a hombres (es decir, el 8.94%). </w:t>
      </w:r>
    </w:p>
    <w:p w14:paraId="16B155ED" w14:textId="77777777" w:rsidR="004F7052" w:rsidRPr="00E10543" w:rsidRDefault="004F7052" w:rsidP="00E10543">
      <w:pPr>
        <w:spacing w:line="276" w:lineRule="auto"/>
        <w:ind w:left="426"/>
        <w:jc w:val="both"/>
        <w:rPr>
          <w:rFonts w:ascii="Century Gothic" w:hAnsi="Century Gothic"/>
          <w:sz w:val="20"/>
          <w:szCs w:val="20"/>
        </w:rPr>
      </w:pPr>
    </w:p>
    <w:p w14:paraId="2C3A1FFE" w14:textId="77777777" w:rsidR="004F7052" w:rsidRPr="00E10543" w:rsidRDefault="004F7052" w:rsidP="00E10543">
      <w:pPr>
        <w:spacing w:line="276" w:lineRule="auto"/>
        <w:ind w:left="426"/>
        <w:jc w:val="both"/>
        <w:rPr>
          <w:rFonts w:ascii="Century Gothic" w:hAnsi="Century Gothic"/>
          <w:sz w:val="20"/>
          <w:szCs w:val="20"/>
        </w:rPr>
      </w:pPr>
      <w:r w:rsidRPr="00E10543">
        <w:rPr>
          <w:rFonts w:ascii="Century Gothic" w:hAnsi="Century Gothic"/>
          <w:noProof/>
          <w:sz w:val="20"/>
          <w:szCs w:val="20"/>
          <w:lang w:eastAsia="es-CO"/>
        </w:rPr>
        <w:drawing>
          <wp:inline distT="114300" distB="114300" distL="114300" distR="114300" wp14:anchorId="7327AF04" wp14:editId="57695185">
            <wp:extent cx="5022551" cy="2819400"/>
            <wp:effectExtent l="0" t="0" r="6985"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5051934" cy="2835894"/>
                    </a:xfrm>
                    <a:prstGeom prst="rect">
                      <a:avLst/>
                    </a:prstGeom>
                    <a:ln/>
                  </pic:spPr>
                </pic:pic>
              </a:graphicData>
            </a:graphic>
          </wp:inline>
        </w:drawing>
      </w:r>
    </w:p>
    <w:p w14:paraId="6ACCC533" w14:textId="77777777" w:rsidR="004F7052" w:rsidRPr="00E10543" w:rsidRDefault="004F7052" w:rsidP="00E10543">
      <w:pPr>
        <w:spacing w:line="276" w:lineRule="auto"/>
        <w:ind w:left="426"/>
        <w:jc w:val="both"/>
        <w:rPr>
          <w:rFonts w:ascii="Century Gothic" w:hAnsi="Century Gothic"/>
          <w:sz w:val="20"/>
          <w:szCs w:val="20"/>
        </w:rPr>
      </w:pPr>
    </w:p>
    <w:p w14:paraId="4CEA2445" w14:textId="4140B782" w:rsidR="004F7052" w:rsidRPr="00E10543" w:rsidRDefault="004F7052" w:rsidP="00E10543">
      <w:pPr>
        <w:spacing w:line="276" w:lineRule="auto"/>
        <w:ind w:left="426"/>
        <w:jc w:val="both"/>
        <w:rPr>
          <w:rFonts w:ascii="Century Gothic" w:hAnsi="Century Gothic"/>
          <w:sz w:val="20"/>
          <w:szCs w:val="20"/>
        </w:rPr>
      </w:pPr>
      <w:r w:rsidRPr="00E10543">
        <w:rPr>
          <w:rFonts w:ascii="Century Gothic" w:hAnsi="Century Gothic"/>
          <w:sz w:val="20"/>
          <w:szCs w:val="20"/>
        </w:rPr>
        <w:t xml:space="preserve">Así mismo, se evidencia un aumento de la violencia intrafamiliar en todos los grupos o contextos de violencia: </w:t>
      </w:r>
    </w:p>
    <w:p w14:paraId="4D7E5278" w14:textId="77777777" w:rsidR="004F7052" w:rsidRPr="00E10543" w:rsidRDefault="004F7052" w:rsidP="00E10543">
      <w:pPr>
        <w:spacing w:line="276" w:lineRule="auto"/>
        <w:ind w:left="426"/>
        <w:jc w:val="both"/>
        <w:rPr>
          <w:rFonts w:ascii="Century Gothic" w:hAnsi="Century Gothic"/>
          <w:sz w:val="20"/>
          <w:szCs w:val="20"/>
        </w:rPr>
      </w:pPr>
      <w:r w:rsidRPr="00E10543">
        <w:rPr>
          <w:rFonts w:ascii="Century Gothic" w:hAnsi="Century Gothic"/>
          <w:noProof/>
          <w:sz w:val="20"/>
          <w:szCs w:val="20"/>
          <w:lang w:eastAsia="es-CO"/>
        </w:rPr>
        <w:lastRenderedPageBreak/>
        <w:drawing>
          <wp:inline distT="114300" distB="114300" distL="114300" distR="114300" wp14:anchorId="3BD19339" wp14:editId="45D6D67B">
            <wp:extent cx="5253487" cy="3062377"/>
            <wp:effectExtent l="0" t="0" r="4445" b="508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5267508" cy="3070550"/>
                    </a:xfrm>
                    <a:prstGeom prst="rect">
                      <a:avLst/>
                    </a:prstGeom>
                    <a:ln/>
                  </pic:spPr>
                </pic:pic>
              </a:graphicData>
            </a:graphic>
          </wp:inline>
        </w:drawing>
      </w:r>
    </w:p>
    <w:p w14:paraId="022E928D" w14:textId="359E4DC4" w:rsidR="004F7052" w:rsidRPr="00E10543" w:rsidRDefault="004F7052" w:rsidP="00E10543">
      <w:pPr>
        <w:spacing w:line="276" w:lineRule="auto"/>
        <w:ind w:left="426"/>
        <w:jc w:val="both"/>
        <w:rPr>
          <w:rFonts w:ascii="Century Gothic" w:hAnsi="Century Gothic"/>
          <w:sz w:val="20"/>
          <w:szCs w:val="20"/>
        </w:rPr>
      </w:pPr>
      <w:r w:rsidRPr="00E10543">
        <w:rPr>
          <w:rFonts w:ascii="Century Gothic" w:hAnsi="Century Gothic"/>
          <w:sz w:val="20"/>
          <w:szCs w:val="20"/>
        </w:rPr>
        <w:t>Adicionalmente, aumentó el número de exámenes médico legales por presunto delito sexual, mientras en el 2021 se realizaron 18.728 mujeres, en el año 2022 se realizaron 22.376.</w:t>
      </w:r>
    </w:p>
    <w:p w14:paraId="151A1AAB" w14:textId="77777777" w:rsidR="004F7052" w:rsidRPr="00E10543" w:rsidRDefault="004F7052" w:rsidP="00E10543">
      <w:pPr>
        <w:spacing w:line="276" w:lineRule="auto"/>
        <w:ind w:left="426"/>
        <w:jc w:val="both"/>
        <w:rPr>
          <w:rFonts w:ascii="Century Gothic" w:hAnsi="Century Gothic"/>
          <w:sz w:val="20"/>
          <w:szCs w:val="20"/>
        </w:rPr>
      </w:pPr>
    </w:p>
    <w:p w14:paraId="4FB8CD3D" w14:textId="77777777" w:rsidR="004F7052" w:rsidRPr="00E10543" w:rsidRDefault="004F7052" w:rsidP="00E10543">
      <w:pPr>
        <w:spacing w:line="276" w:lineRule="auto"/>
        <w:ind w:left="426"/>
        <w:jc w:val="both"/>
        <w:rPr>
          <w:rFonts w:ascii="Century Gothic" w:hAnsi="Century Gothic"/>
          <w:sz w:val="20"/>
          <w:szCs w:val="20"/>
        </w:rPr>
      </w:pPr>
      <w:r w:rsidRPr="00E10543">
        <w:rPr>
          <w:rFonts w:ascii="Century Gothic" w:hAnsi="Century Gothic"/>
          <w:noProof/>
          <w:sz w:val="20"/>
          <w:szCs w:val="20"/>
          <w:lang w:eastAsia="es-CO"/>
        </w:rPr>
        <w:drawing>
          <wp:inline distT="114300" distB="114300" distL="114300" distR="114300" wp14:anchorId="7CE6AA9F" wp14:editId="2AA1FA53">
            <wp:extent cx="5253355" cy="3321170"/>
            <wp:effectExtent l="0" t="0" r="4445"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257253" cy="3323634"/>
                    </a:xfrm>
                    <a:prstGeom prst="rect">
                      <a:avLst/>
                    </a:prstGeom>
                    <a:ln/>
                  </pic:spPr>
                </pic:pic>
              </a:graphicData>
            </a:graphic>
          </wp:inline>
        </w:drawing>
      </w:r>
    </w:p>
    <w:p w14:paraId="7FA688D5" w14:textId="35886C84" w:rsidR="004F7052" w:rsidRDefault="004F7052" w:rsidP="00E10543">
      <w:pPr>
        <w:spacing w:line="276" w:lineRule="auto"/>
        <w:ind w:left="426"/>
        <w:jc w:val="both"/>
        <w:rPr>
          <w:rFonts w:ascii="Century Gothic" w:hAnsi="Century Gothic"/>
          <w:sz w:val="20"/>
          <w:szCs w:val="20"/>
        </w:rPr>
      </w:pPr>
    </w:p>
    <w:p w14:paraId="4DB7C18B" w14:textId="0BF4A95E" w:rsidR="002C1CA8" w:rsidRDefault="002C1CA8" w:rsidP="00E10543">
      <w:pPr>
        <w:spacing w:line="276" w:lineRule="auto"/>
        <w:ind w:left="426"/>
        <w:jc w:val="both"/>
        <w:rPr>
          <w:rFonts w:ascii="Century Gothic" w:hAnsi="Century Gothic"/>
          <w:sz w:val="20"/>
          <w:szCs w:val="20"/>
        </w:rPr>
      </w:pPr>
    </w:p>
    <w:p w14:paraId="32DC44E5" w14:textId="77C63031" w:rsidR="004F7052" w:rsidRPr="00E10543" w:rsidRDefault="002C1CA8" w:rsidP="002C1CA8">
      <w:pPr>
        <w:spacing w:line="276" w:lineRule="auto"/>
        <w:jc w:val="both"/>
        <w:rPr>
          <w:rFonts w:ascii="Century Gothic" w:hAnsi="Century Gothic"/>
          <w:b/>
          <w:sz w:val="20"/>
          <w:szCs w:val="20"/>
        </w:rPr>
      </w:pPr>
      <w:r w:rsidRPr="00E10543">
        <w:rPr>
          <w:rFonts w:ascii="Century Gothic" w:hAnsi="Century Gothic"/>
          <w:b/>
          <w:sz w:val="20"/>
          <w:szCs w:val="20"/>
        </w:rPr>
        <w:t xml:space="preserve">CIFRAS DE LA FISCALÍA GENERAL DE LA NACIÓN  </w:t>
      </w:r>
    </w:p>
    <w:p w14:paraId="474BE639" w14:textId="77777777" w:rsidR="004F7052" w:rsidRPr="00E10543" w:rsidRDefault="004F7052" w:rsidP="00E10543">
      <w:pPr>
        <w:spacing w:line="276" w:lineRule="auto"/>
        <w:ind w:left="426"/>
        <w:jc w:val="both"/>
        <w:rPr>
          <w:rFonts w:ascii="Century Gothic" w:hAnsi="Century Gothic"/>
          <w:sz w:val="20"/>
          <w:szCs w:val="20"/>
        </w:rPr>
      </w:pPr>
    </w:p>
    <w:p w14:paraId="27E5E1A4" w14:textId="77777777" w:rsidR="004F7052" w:rsidRPr="00E10543" w:rsidRDefault="004F7052" w:rsidP="00E10543">
      <w:pPr>
        <w:numPr>
          <w:ilvl w:val="0"/>
          <w:numId w:val="23"/>
        </w:numPr>
        <w:spacing w:line="276" w:lineRule="auto"/>
        <w:ind w:left="426" w:hanging="283"/>
        <w:jc w:val="both"/>
        <w:rPr>
          <w:rFonts w:ascii="Century Gothic" w:hAnsi="Century Gothic"/>
          <w:sz w:val="20"/>
          <w:szCs w:val="20"/>
        </w:rPr>
      </w:pPr>
      <w:r w:rsidRPr="00E10543">
        <w:rPr>
          <w:rFonts w:ascii="Century Gothic" w:hAnsi="Century Gothic"/>
          <w:sz w:val="20"/>
          <w:szCs w:val="20"/>
        </w:rPr>
        <w:t xml:space="preserve">El código penal en su artículo 230-A establece el delito de </w:t>
      </w:r>
      <w:r w:rsidRPr="00E10543">
        <w:rPr>
          <w:rFonts w:ascii="Century Gothic" w:hAnsi="Century Gothic"/>
          <w:i/>
          <w:sz w:val="20"/>
          <w:szCs w:val="20"/>
        </w:rPr>
        <w:t>EJERCICIO ARBITRARIO DE LA CUSTODIA DE HIJO MENOR DE EDAD</w:t>
      </w:r>
      <w:r w:rsidRPr="00E10543">
        <w:rPr>
          <w:rFonts w:ascii="Century Gothic" w:hAnsi="Century Gothic"/>
          <w:sz w:val="20"/>
          <w:szCs w:val="20"/>
        </w:rPr>
        <w:t xml:space="preserve">, así: </w:t>
      </w:r>
      <w:r w:rsidRPr="00E10543">
        <w:rPr>
          <w:rFonts w:ascii="Century Gothic" w:hAnsi="Century Gothic"/>
          <w:i/>
          <w:sz w:val="20"/>
          <w:szCs w:val="20"/>
        </w:rPr>
        <w:t>“El padre que arrebate, sustraiga, retenga u oculte a uno de sus hijos menores sobre quienes ejerce la patria potestad con el fin de privar al otro padre del derecho de custodia y cuidado personal, incurrirá, por ese solo hecho, en prisión de uno (1) a tres (3) años y en multa de uno (1) a dieciséis (16) salarios mínimos legales mensuales vigentes.”</w:t>
      </w:r>
    </w:p>
    <w:p w14:paraId="06FCAD3C" w14:textId="77777777" w:rsidR="004F7052" w:rsidRPr="00E10543" w:rsidRDefault="004F7052" w:rsidP="00E10543">
      <w:pPr>
        <w:spacing w:line="276" w:lineRule="auto"/>
        <w:ind w:left="426"/>
        <w:jc w:val="both"/>
        <w:rPr>
          <w:rFonts w:ascii="Century Gothic" w:hAnsi="Century Gothic"/>
          <w:sz w:val="20"/>
          <w:szCs w:val="20"/>
        </w:rPr>
      </w:pPr>
      <w:r w:rsidRPr="00E10543">
        <w:rPr>
          <w:rFonts w:ascii="Century Gothic" w:hAnsi="Century Gothic"/>
          <w:sz w:val="20"/>
          <w:szCs w:val="20"/>
        </w:rPr>
        <w:br/>
        <w:t>En los datos abiertos de la Fiscalía General de la Nación se establece que hay 29.333 víctimas de dicho delito, 12.985 víctimas niñas y jóvenes y 14.170 niños y jóvenes</w:t>
      </w:r>
      <w:r w:rsidRPr="00E10543">
        <w:rPr>
          <w:rFonts w:ascii="Century Gothic" w:hAnsi="Century Gothic"/>
          <w:sz w:val="20"/>
          <w:szCs w:val="20"/>
          <w:vertAlign w:val="superscript"/>
        </w:rPr>
        <w:footnoteReference w:id="14"/>
      </w:r>
      <w:r w:rsidRPr="00E10543">
        <w:rPr>
          <w:rFonts w:ascii="Century Gothic" w:hAnsi="Century Gothic"/>
          <w:sz w:val="20"/>
          <w:szCs w:val="20"/>
        </w:rPr>
        <w:t xml:space="preserve">. Estas </w:t>
      </w:r>
      <w:r w:rsidRPr="00E10543">
        <w:rPr>
          <w:rFonts w:ascii="Century Gothic" w:hAnsi="Century Gothic"/>
          <w:sz w:val="20"/>
          <w:szCs w:val="20"/>
        </w:rPr>
        <w:lastRenderedPageBreak/>
        <w:t>víctimas se encuentran vinculadas a 14.319 procesos de los cuales 13.903 se encuentran en etapa de indagación, lo cual nos muestra que el 97% de los procesos se encuentran en la primera etapa</w:t>
      </w:r>
      <w:r w:rsidRPr="00E10543">
        <w:rPr>
          <w:rFonts w:ascii="Century Gothic" w:hAnsi="Century Gothic"/>
          <w:sz w:val="20"/>
          <w:szCs w:val="20"/>
          <w:vertAlign w:val="superscript"/>
        </w:rPr>
        <w:footnoteReference w:id="15"/>
      </w:r>
      <w:r w:rsidRPr="00E10543">
        <w:rPr>
          <w:rFonts w:ascii="Century Gothic" w:hAnsi="Century Gothic"/>
          <w:sz w:val="20"/>
          <w:szCs w:val="20"/>
        </w:rPr>
        <w:t xml:space="preserve">. </w:t>
      </w:r>
    </w:p>
    <w:p w14:paraId="6238F7CD" w14:textId="77777777" w:rsidR="004F7052" w:rsidRPr="00E10543" w:rsidRDefault="004F7052" w:rsidP="00E10543">
      <w:pPr>
        <w:spacing w:line="276" w:lineRule="auto"/>
        <w:ind w:left="426"/>
        <w:jc w:val="both"/>
        <w:rPr>
          <w:rFonts w:ascii="Century Gothic" w:hAnsi="Century Gothic"/>
          <w:sz w:val="20"/>
          <w:szCs w:val="20"/>
        </w:rPr>
      </w:pPr>
    </w:p>
    <w:p w14:paraId="5C2C6681" w14:textId="163DEA23" w:rsidR="004F7052" w:rsidRPr="00E10543" w:rsidRDefault="004F7052" w:rsidP="00E10543">
      <w:pPr>
        <w:pStyle w:val="Prrafodelista"/>
        <w:numPr>
          <w:ilvl w:val="0"/>
          <w:numId w:val="23"/>
        </w:numPr>
        <w:spacing w:line="276" w:lineRule="auto"/>
        <w:ind w:left="426"/>
        <w:jc w:val="both"/>
        <w:rPr>
          <w:rFonts w:ascii="Century Gothic" w:hAnsi="Century Gothic"/>
          <w:sz w:val="20"/>
          <w:szCs w:val="20"/>
        </w:rPr>
      </w:pPr>
      <w:r w:rsidRPr="00E10543">
        <w:rPr>
          <w:rFonts w:ascii="Century Gothic" w:hAnsi="Century Gothic"/>
          <w:sz w:val="20"/>
          <w:szCs w:val="20"/>
        </w:rPr>
        <w:t>El Código Penal en los artículos 104A y 104B establecen el delito de feminicidio</w:t>
      </w:r>
    </w:p>
    <w:p w14:paraId="2E653ECD" w14:textId="77777777" w:rsidR="004F7052" w:rsidRPr="00E10543" w:rsidRDefault="004F7052" w:rsidP="00E10543">
      <w:pPr>
        <w:spacing w:line="276" w:lineRule="auto"/>
        <w:ind w:left="426"/>
        <w:jc w:val="both"/>
        <w:rPr>
          <w:rFonts w:ascii="Century Gothic" w:hAnsi="Century Gothic"/>
          <w:sz w:val="20"/>
          <w:szCs w:val="20"/>
        </w:rPr>
      </w:pPr>
    </w:p>
    <w:p w14:paraId="7D271370" w14:textId="77777777" w:rsidR="004F7052" w:rsidRPr="00E10543" w:rsidRDefault="004F7052" w:rsidP="00E10543">
      <w:pPr>
        <w:spacing w:before="180" w:after="180" w:line="276" w:lineRule="auto"/>
        <w:ind w:left="426"/>
        <w:jc w:val="both"/>
        <w:rPr>
          <w:rFonts w:ascii="Century Gothic" w:hAnsi="Century Gothic"/>
          <w:i/>
          <w:sz w:val="20"/>
          <w:szCs w:val="20"/>
        </w:rPr>
      </w:pPr>
      <w:r w:rsidRPr="00E10543">
        <w:rPr>
          <w:rFonts w:ascii="Century Gothic" w:hAnsi="Century Gothic"/>
          <w:i/>
          <w:sz w:val="20"/>
          <w:szCs w:val="20"/>
        </w:rPr>
        <w:t xml:space="preserve">ARTÍCULO 104A. FEMINICIDIO. &lt;Artículo adicionado por el artículo </w:t>
      </w:r>
      <w:hyperlink r:id="rId16" w:anchor="2">
        <w:r w:rsidRPr="00E10543">
          <w:rPr>
            <w:rFonts w:ascii="Century Gothic" w:hAnsi="Century Gothic"/>
            <w:i/>
            <w:sz w:val="20"/>
            <w:szCs w:val="20"/>
          </w:rPr>
          <w:t>2</w:t>
        </w:r>
      </w:hyperlink>
      <w:r w:rsidRPr="00E10543">
        <w:rPr>
          <w:rFonts w:ascii="Century Gothic" w:hAnsi="Century Gothic"/>
          <w:i/>
          <w:sz w:val="20"/>
          <w:szCs w:val="20"/>
        </w:rPr>
        <w:t xml:space="preserve"> de la Ley 1761 de 2015. El nuevo texto es el siguiente:&gt; Quien causare la muerte a una mujer, por su condición de ser mujer o por motivos de su identidad de género o en donde haya concurrido o antecedido cualquiera de las siguientes circunstancias, incurrirá en prisión de doscientos cincuenta (250) meses a quinientos (500) meses.</w:t>
      </w:r>
    </w:p>
    <w:p w14:paraId="5F21AF24" w14:textId="77777777" w:rsidR="004F7052" w:rsidRPr="00E10543" w:rsidRDefault="004F7052" w:rsidP="00E10543">
      <w:pPr>
        <w:spacing w:before="180" w:after="180" w:line="276" w:lineRule="auto"/>
        <w:ind w:left="426"/>
        <w:jc w:val="both"/>
        <w:rPr>
          <w:rFonts w:ascii="Century Gothic" w:hAnsi="Century Gothic"/>
          <w:i/>
          <w:sz w:val="20"/>
          <w:szCs w:val="20"/>
        </w:rPr>
      </w:pPr>
      <w:r w:rsidRPr="00E10543">
        <w:rPr>
          <w:rFonts w:ascii="Century Gothic" w:hAnsi="Century Gothic"/>
          <w:i/>
          <w:sz w:val="20"/>
          <w:szCs w:val="20"/>
        </w:rPr>
        <w:t>a) Tener o haber tenido una relación familiar, íntima o, de convivencia con la víctima, de amistad, de compañerismo o de trabajo y ser perpetrador de un ciclo de violencia física, sexual, psicológica o patrimonial que antecedió el crimen contra ella.</w:t>
      </w:r>
    </w:p>
    <w:p w14:paraId="2A48D0DF" w14:textId="77777777" w:rsidR="004F7052" w:rsidRPr="00E10543" w:rsidRDefault="004F7052" w:rsidP="00E10543">
      <w:pPr>
        <w:spacing w:before="180" w:after="180" w:line="276" w:lineRule="auto"/>
        <w:ind w:left="426"/>
        <w:jc w:val="both"/>
        <w:rPr>
          <w:rFonts w:ascii="Century Gothic" w:hAnsi="Century Gothic"/>
          <w:i/>
          <w:sz w:val="20"/>
          <w:szCs w:val="20"/>
        </w:rPr>
      </w:pPr>
      <w:r w:rsidRPr="00E10543">
        <w:rPr>
          <w:rFonts w:ascii="Century Gothic" w:hAnsi="Century Gothic"/>
          <w:i/>
          <w:sz w:val="20"/>
          <w:szCs w:val="20"/>
        </w:rPr>
        <w:t>b) Ejercer sobre el cuerpo y la vida de la mujer actos de instrumentalización de género o sexual o acciones de opresión y dominio sobre sus decisiones vitales y su sexualidad.</w:t>
      </w:r>
    </w:p>
    <w:p w14:paraId="4681B7DA" w14:textId="77777777" w:rsidR="004F7052" w:rsidRPr="00E10543" w:rsidRDefault="004F7052" w:rsidP="00E10543">
      <w:pPr>
        <w:spacing w:before="180" w:after="180" w:line="276" w:lineRule="auto"/>
        <w:ind w:left="426"/>
        <w:jc w:val="both"/>
        <w:rPr>
          <w:rFonts w:ascii="Century Gothic" w:hAnsi="Century Gothic"/>
          <w:i/>
          <w:sz w:val="20"/>
          <w:szCs w:val="20"/>
        </w:rPr>
      </w:pPr>
      <w:r w:rsidRPr="00E10543">
        <w:rPr>
          <w:rFonts w:ascii="Century Gothic" w:hAnsi="Century Gothic"/>
          <w:i/>
          <w:sz w:val="20"/>
          <w:szCs w:val="20"/>
        </w:rPr>
        <w:t>c) Cometer el delito en aprovechamiento de las relaciones de poder ejercidas sobre la mujer, expresado en la jerarquización personal, económica, sexual, militar, política o sociocultural.</w:t>
      </w:r>
    </w:p>
    <w:p w14:paraId="797712EA" w14:textId="77777777" w:rsidR="004F7052" w:rsidRPr="00E10543" w:rsidRDefault="004F7052" w:rsidP="00E10543">
      <w:pPr>
        <w:spacing w:before="180" w:after="180" w:line="276" w:lineRule="auto"/>
        <w:ind w:left="426"/>
        <w:jc w:val="both"/>
        <w:rPr>
          <w:rFonts w:ascii="Century Gothic" w:hAnsi="Century Gothic"/>
          <w:i/>
          <w:sz w:val="20"/>
          <w:szCs w:val="20"/>
        </w:rPr>
      </w:pPr>
      <w:r w:rsidRPr="00E10543">
        <w:rPr>
          <w:rFonts w:ascii="Century Gothic" w:hAnsi="Century Gothic"/>
          <w:i/>
          <w:sz w:val="20"/>
          <w:szCs w:val="20"/>
        </w:rPr>
        <w:t>d) Cometer el delito para generar terror o humillación a quien se considere enemigo.</w:t>
      </w:r>
    </w:p>
    <w:p w14:paraId="681D8A59" w14:textId="77777777" w:rsidR="004F7052" w:rsidRPr="00E10543" w:rsidRDefault="004F7052" w:rsidP="00E10543">
      <w:pPr>
        <w:spacing w:before="180" w:after="180" w:line="276" w:lineRule="auto"/>
        <w:ind w:left="426"/>
        <w:jc w:val="both"/>
        <w:rPr>
          <w:rFonts w:ascii="Century Gothic" w:hAnsi="Century Gothic"/>
          <w:i/>
          <w:sz w:val="20"/>
          <w:szCs w:val="20"/>
        </w:rPr>
      </w:pPr>
      <w:r w:rsidRPr="00E10543">
        <w:rPr>
          <w:rFonts w:ascii="Century Gothic" w:hAnsi="Century Gothic"/>
          <w:i/>
          <w:sz w:val="20"/>
          <w:szCs w:val="20"/>
        </w:rPr>
        <w:t>e) &lt;Literal CONDICIONALMENTE exequible&gt; Que existan antecedentes o indicios de cualquier tipo de violencia o amenaza en el ámbito doméstico, familiar, laboral o escolar por parte del sujeto activo en contra de la víctima o de violencia de género cometida por el autor contra la víctima, independientemente de que el hecho haya sido denunciado o no.</w:t>
      </w:r>
    </w:p>
    <w:p w14:paraId="50517589" w14:textId="77777777" w:rsidR="004F7052" w:rsidRPr="00E10543" w:rsidRDefault="004F7052" w:rsidP="00E10543">
      <w:pPr>
        <w:spacing w:before="180" w:after="180" w:line="276" w:lineRule="auto"/>
        <w:ind w:left="426"/>
        <w:jc w:val="both"/>
        <w:rPr>
          <w:rFonts w:ascii="Century Gothic" w:hAnsi="Century Gothic"/>
          <w:i/>
          <w:sz w:val="20"/>
          <w:szCs w:val="20"/>
        </w:rPr>
      </w:pPr>
      <w:r w:rsidRPr="00E10543">
        <w:rPr>
          <w:rFonts w:ascii="Century Gothic" w:hAnsi="Century Gothic"/>
          <w:i/>
          <w:sz w:val="20"/>
          <w:szCs w:val="20"/>
        </w:rPr>
        <w:t>f) Que la víctima haya sido incomunicada o privada de su libertad de locomoción, cualquiera que sea el tiempo previo a la muerte de aquella.</w:t>
      </w:r>
    </w:p>
    <w:p w14:paraId="6016F69D" w14:textId="77777777" w:rsidR="004F7052" w:rsidRPr="00E10543" w:rsidRDefault="004F7052" w:rsidP="00E10543">
      <w:pPr>
        <w:spacing w:before="180" w:after="180" w:line="276" w:lineRule="auto"/>
        <w:ind w:left="426"/>
        <w:jc w:val="both"/>
        <w:rPr>
          <w:rFonts w:ascii="Century Gothic" w:hAnsi="Century Gothic"/>
          <w:i/>
          <w:sz w:val="20"/>
          <w:szCs w:val="20"/>
        </w:rPr>
      </w:pPr>
      <w:r w:rsidRPr="00E10543">
        <w:rPr>
          <w:rFonts w:ascii="Century Gothic" w:hAnsi="Century Gothic"/>
          <w:i/>
          <w:sz w:val="20"/>
          <w:szCs w:val="20"/>
        </w:rPr>
        <w:t xml:space="preserve">ARTÍCULO 104B. CIRCUNSTANCIAS DE AGRAVACIÓN PUNITIVA DEL FEMINICIDIO. &lt;Artículo adicionado por el artículo </w:t>
      </w:r>
      <w:hyperlink r:id="rId17" w:anchor="3">
        <w:r w:rsidRPr="00E10543">
          <w:rPr>
            <w:rFonts w:ascii="Century Gothic" w:hAnsi="Century Gothic"/>
            <w:i/>
            <w:sz w:val="20"/>
            <w:szCs w:val="20"/>
          </w:rPr>
          <w:t>3</w:t>
        </w:r>
      </w:hyperlink>
      <w:r w:rsidRPr="00E10543">
        <w:rPr>
          <w:rFonts w:ascii="Century Gothic" w:hAnsi="Century Gothic"/>
          <w:i/>
          <w:sz w:val="20"/>
          <w:szCs w:val="20"/>
        </w:rPr>
        <w:t xml:space="preserve"> de la Ley 1761 de 2015. El nuevo texto es el siguiente:&gt; La pena será de quinientos (500) meses a seiscientos (600) meses de prisión, si el feminicidio se cometiere:</w:t>
      </w:r>
    </w:p>
    <w:p w14:paraId="6BFFC9D0" w14:textId="77777777" w:rsidR="004F7052" w:rsidRPr="00E10543" w:rsidRDefault="004F7052" w:rsidP="00E10543">
      <w:pPr>
        <w:spacing w:before="180" w:after="180" w:line="276" w:lineRule="auto"/>
        <w:ind w:left="426"/>
        <w:jc w:val="both"/>
        <w:rPr>
          <w:rFonts w:ascii="Century Gothic" w:hAnsi="Century Gothic"/>
          <w:i/>
          <w:sz w:val="20"/>
          <w:szCs w:val="20"/>
        </w:rPr>
      </w:pPr>
      <w:r w:rsidRPr="00E10543">
        <w:rPr>
          <w:rFonts w:ascii="Century Gothic" w:hAnsi="Century Gothic"/>
          <w:i/>
          <w:sz w:val="20"/>
          <w:szCs w:val="20"/>
        </w:rPr>
        <w:t>a) Cuando el autor tenga la calidad de servidor público y desarrolle la conducta punible aprovechándose de esta calidad.</w:t>
      </w:r>
    </w:p>
    <w:p w14:paraId="4EEE162A" w14:textId="77777777" w:rsidR="004F7052" w:rsidRPr="00E10543" w:rsidRDefault="004F7052" w:rsidP="00E10543">
      <w:pPr>
        <w:spacing w:before="180" w:after="180" w:line="276" w:lineRule="auto"/>
        <w:ind w:left="426"/>
        <w:jc w:val="both"/>
        <w:rPr>
          <w:rFonts w:ascii="Century Gothic" w:hAnsi="Century Gothic"/>
          <w:i/>
          <w:sz w:val="20"/>
          <w:szCs w:val="20"/>
        </w:rPr>
      </w:pPr>
      <w:r w:rsidRPr="00E10543">
        <w:rPr>
          <w:rFonts w:ascii="Century Gothic" w:hAnsi="Century Gothic"/>
          <w:i/>
          <w:sz w:val="20"/>
          <w:szCs w:val="20"/>
        </w:rPr>
        <w:t>b) Cuando la conducta punible se cometiere en mujer menor de dieciocho (18) años o mayor de sesenta (60) o mujer en estado de embarazo.</w:t>
      </w:r>
    </w:p>
    <w:p w14:paraId="1ED52ECA" w14:textId="77777777" w:rsidR="004F7052" w:rsidRPr="00E10543" w:rsidRDefault="004F7052" w:rsidP="00E10543">
      <w:pPr>
        <w:spacing w:before="180" w:after="180" w:line="276" w:lineRule="auto"/>
        <w:ind w:left="426"/>
        <w:jc w:val="both"/>
        <w:rPr>
          <w:rFonts w:ascii="Century Gothic" w:hAnsi="Century Gothic"/>
          <w:i/>
          <w:sz w:val="20"/>
          <w:szCs w:val="20"/>
        </w:rPr>
      </w:pPr>
      <w:r w:rsidRPr="00E10543">
        <w:rPr>
          <w:rFonts w:ascii="Century Gothic" w:hAnsi="Century Gothic"/>
          <w:i/>
          <w:sz w:val="20"/>
          <w:szCs w:val="20"/>
        </w:rPr>
        <w:t>c) Cuando la conducta se cometiere con el concurso de otra u otras personas.</w:t>
      </w:r>
    </w:p>
    <w:p w14:paraId="7370B394" w14:textId="77777777" w:rsidR="004F7052" w:rsidRPr="00E10543" w:rsidRDefault="004F7052" w:rsidP="00E10543">
      <w:pPr>
        <w:spacing w:before="180" w:after="180" w:line="276" w:lineRule="auto"/>
        <w:ind w:left="426"/>
        <w:jc w:val="both"/>
        <w:rPr>
          <w:rFonts w:ascii="Century Gothic" w:hAnsi="Century Gothic"/>
          <w:i/>
          <w:sz w:val="20"/>
          <w:szCs w:val="20"/>
        </w:rPr>
      </w:pPr>
      <w:r w:rsidRPr="00E10543">
        <w:rPr>
          <w:rFonts w:ascii="Century Gothic" w:hAnsi="Century Gothic"/>
          <w:i/>
          <w:sz w:val="20"/>
          <w:szCs w:val="20"/>
        </w:rPr>
        <w:t>d) Cuando se cometiere en una mujer en situación de discapacidad física, psíquica o sensorial o desplazamiento forzado, condición socioeconómica o por prejuicios relacionados con la condición étnica o la orientación sexual.</w:t>
      </w:r>
    </w:p>
    <w:p w14:paraId="45A61772" w14:textId="77777777" w:rsidR="004F7052" w:rsidRPr="00E10543" w:rsidRDefault="004F7052" w:rsidP="00E10543">
      <w:pPr>
        <w:spacing w:before="180" w:after="180" w:line="276" w:lineRule="auto"/>
        <w:ind w:left="426"/>
        <w:jc w:val="both"/>
        <w:rPr>
          <w:rFonts w:ascii="Century Gothic" w:hAnsi="Century Gothic"/>
          <w:i/>
          <w:sz w:val="20"/>
          <w:szCs w:val="20"/>
        </w:rPr>
      </w:pPr>
      <w:r w:rsidRPr="00E10543">
        <w:rPr>
          <w:rFonts w:ascii="Century Gothic" w:hAnsi="Century Gothic"/>
          <w:i/>
          <w:sz w:val="20"/>
          <w:szCs w:val="20"/>
        </w:rPr>
        <w:t>e) Cuando la conducta punible fuere cometida en presencia de cualquier persona que integre la unidad doméstica de la víctima.</w:t>
      </w:r>
    </w:p>
    <w:p w14:paraId="0FDE52CC" w14:textId="77777777" w:rsidR="004F7052" w:rsidRPr="00E10543" w:rsidRDefault="004F7052" w:rsidP="00E10543">
      <w:pPr>
        <w:spacing w:before="180" w:after="180" w:line="276" w:lineRule="auto"/>
        <w:ind w:left="426"/>
        <w:jc w:val="both"/>
        <w:rPr>
          <w:rFonts w:ascii="Century Gothic" w:hAnsi="Century Gothic"/>
          <w:i/>
          <w:sz w:val="20"/>
          <w:szCs w:val="20"/>
        </w:rPr>
      </w:pPr>
      <w:r w:rsidRPr="00E10543">
        <w:rPr>
          <w:rFonts w:ascii="Century Gothic" w:hAnsi="Century Gothic"/>
          <w:i/>
          <w:sz w:val="20"/>
          <w:szCs w:val="20"/>
        </w:rPr>
        <w:lastRenderedPageBreak/>
        <w:t>f) Cuando se cometa el delito con posterioridad a una agresión sexual, a la realización de rituales, actos de mutilación genital o cualquier otro tipo de agresión o sufrimiento físico o psicológico.</w:t>
      </w:r>
    </w:p>
    <w:p w14:paraId="1D620012" w14:textId="77777777" w:rsidR="004F7052" w:rsidRPr="00E10543" w:rsidRDefault="004F7052" w:rsidP="00E10543">
      <w:pPr>
        <w:spacing w:before="180" w:after="180" w:line="276" w:lineRule="auto"/>
        <w:ind w:left="426"/>
        <w:jc w:val="both"/>
        <w:rPr>
          <w:rFonts w:ascii="Century Gothic" w:hAnsi="Century Gothic"/>
          <w:i/>
          <w:sz w:val="20"/>
          <w:szCs w:val="20"/>
        </w:rPr>
      </w:pPr>
      <w:r w:rsidRPr="00E10543">
        <w:rPr>
          <w:rFonts w:ascii="Century Gothic" w:hAnsi="Century Gothic"/>
          <w:i/>
          <w:sz w:val="20"/>
          <w:szCs w:val="20"/>
        </w:rPr>
        <w:t xml:space="preserve">g) Por medio de las circunstancias de agravación punitiva descritas en los numerales 1, 3, 5, 6, 7 y 8 del artículo </w:t>
      </w:r>
      <w:hyperlink r:id="rId18" w:anchor="104">
        <w:r w:rsidRPr="00E10543">
          <w:rPr>
            <w:rFonts w:ascii="Century Gothic" w:hAnsi="Century Gothic"/>
            <w:i/>
            <w:sz w:val="20"/>
            <w:szCs w:val="20"/>
          </w:rPr>
          <w:t>104</w:t>
        </w:r>
      </w:hyperlink>
      <w:r w:rsidRPr="00E10543">
        <w:rPr>
          <w:rFonts w:ascii="Century Gothic" w:hAnsi="Century Gothic"/>
          <w:i/>
          <w:sz w:val="20"/>
          <w:szCs w:val="20"/>
        </w:rPr>
        <w:t xml:space="preserve"> de este Código</w:t>
      </w:r>
    </w:p>
    <w:p w14:paraId="678F12DF" w14:textId="77777777" w:rsidR="004F7052" w:rsidRPr="00E10543" w:rsidRDefault="004F7052" w:rsidP="00E10543">
      <w:pPr>
        <w:spacing w:before="180" w:after="180" w:line="276" w:lineRule="auto"/>
        <w:ind w:left="426"/>
        <w:jc w:val="both"/>
        <w:rPr>
          <w:rFonts w:ascii="Century Gothic" w:hAnsi="Century Gothic"/>
          <w:sz w:val="20"/>
          <w:szCs w:val="20"/>
        </w:rPr>
      </w:pPr>
      <w:r w:rsidRPr="00E10543">
        <w:rPr>
          <w:rFonts w:ascii="Century Gothic" w:hAnsi="Century Gothic"/>
          <w:sz w:val="20"/>
          <w:szCs w:val="20"/>
        </w:rPr>
        <w:t>Para el año 2012, Rosa Elvira Cely tenía 35 años de edad y vivía en Bogotá. Estaba terminando de validar su bachillerato en la jornada nocturna del colegio Manuela Beltrán mientras trabajaba de día en su puesto de venta ambulante de dulces frente al Hospital Militar. Uno de sus ex compañeros la golpeó, empaló y abusó de ella sexualmente hasta que la dio por muerta y la dejó abandonada en un barranco del parque Nacional. Rosa Elvira, aún consciente, logró tomar su celular para llamar a la policía y pedir auxilio, pero la policía cuestionó su estado y demoró dos horas en llegar y llevarla a un hospital en los que luchó cuatro días por su vida, hasta que falleció</w:t>
      </w:r>
      <w:r w:rsidRPr="00E10543">
        <w:rPr>
          <w:rFonts w:ascii="Century Gothic" w:hAnsi="Century Gothic"/>
          <w:sz w:val="20"/>
          <w:szCs w:val="20"/>
          <w:vertAlign w:val="superscript"/>
        </w:rPr>
        <w:footnoteReference w:id="16"/>
      </w:r>
      <w:r w:rsidRPr="00E10543">
        <w:rPr>
          <w:rFonts w:ascii="Century Gothic" w:hAnsi="Century Gothic"/>
          <w:sz w:val="20"/>
          <w:szCs w:val="20"/>
        </w:rPr>
        <w:t>.</w:t>
      </w:r>
    </w:p>
    <w:p w14:paraId="3397F9BB" w14:textId="77777777" w:rsidR="004F7052" w:rsidRPr="00E10543" w:rsidRDefault="004F7052" w:rsidP="00E10543">
      <w:pPr>
        <w:spacing w:before="180" w:after="180" w:line="276" w:lineRule="auto"/>
        <w:ind w:left="426"/>
        <w:jc w:val="both"/>
        <w:rPr>
          <w:rFonts w:ascii="Century Gothic" w:hAnsi="Century Gothic"/>
          <w:sz w:val="20"/>
          <w:szCs w:val="20"/>
        </w:rPr>
      </w:pPr>
      <w:r w:rsidRPr="00E10543">
        <w:rPr>
          <w:rFonts w:ascii="Century Gothic" w:hAnsi="Century Gothic"/>
          <w:sz w:val="20"/>
          <w:szCs w:val="20"/>
        </w:rPr>
        <w:t>A partir de estos hechos, mujeres y organizaciones en defensa a los derechos de las mujeres realizaron un plantón en el Parque Nacional y pusieron en marcha el trámite de la Ley de Feminicidio en Colombia que hiciera homenaje a la vida de Rosa Elvira y que además repara simbólicamente a sus familiares. Después de tres años en el Congreso, se sancionó la Ley 1761 de 2015 “Por la cual se crea el tipo penal de feminicidio como delito autónomo y se dictan otras disposiciones (Rosa Elvira Cely)".</w:t>
      </w:r>
    </w:p>
    <w:p w14:paraId="22638A63" w14:textId="77777777" w:rsidR="004F7052" w:rsidRPr="00E10543" w:rsidRDefault="004F7052" w:rsidP="00E10543">
      <w:pPr>
        <w:spacing w:before="180" w:after="180" w:line="276" w:lineRule="auto"/>
        <w:ind w:left="426"/>
        <w:jc w:val="both"/>
        <w:rPr>
          <w:rFonts w:ascii="Century Gothic" w:hAnsi="Century Gothic"/>
          <w:sz w:val="20"/>
          <w:szCs w:val="20"/>
        </w:rPr>
      </w:pPr>
      <w:r w:rsidRPr="00E10543">
        <w:rPr>
          <w:rFonts w:ascii="Century Gothic" w:hAnsi="Century Gothic"/>
          <w:sz w:val="20"/>
          <w:szCs w:val="20"/>
        </w:rPr>
        <w:t>Esta ley contempla el feminicidio como la muerte de una mujer, por su condición de ser mujer o por motivos de su identidad de género. La ley, además, contempla circunstancias contextuales para la definición del delito de feminicidio como, por ejemplo, tipos de relaciones y relaciones de poder que permiten identificar que se trata de un delito basado en género. El feminicidio no sólo comporta la lesión al bien jurídico de la vida, como sucede con el homicidio, sino también una violación a la dignidad</w:t>
      </w:r>
      <w:r w:rsidRPr="00E10543">
        <w:rPr>
          <w:rFonts w:ascii="Century Gothic" w:hAnsi="Century Gothic"/>
          <w:sz w:val="20"/>
          <w:szCs w:val="20"/>
          <w:vertAlign w:val="superscript"/>
        </w:rPr>
        <w:footnoteReference w:id="17"/>
      </w:r>
      <w:r w:rsidRPr="00E10543">
        <w:rPr>
          <w:rFonts w:ascii="Century Gothic" w:hAnsi="Century Gothic"/>
          <w:sz w:val="20"/>
          <w:szCs w:val="20"/>
        </w:rPr>
        <w:t>, la libertad y la igualdad de la mujer.</w:t>
      </w:r>
    </w:p>
    <w:p w14:paraId="0075A443" w14:textId="66386002" w:rsidR="004F7052" w:rsidRDefault="004F7052" w:rsidP="00E10543">
      <w:pPr>
        <w:spacing w:before="180" w:after="180" w:line="276" w:lineRule="auto"/>
        <w:ind w:left="426"/>
        <w:jc w:val="both"/>
        <w:rPr>
          <w:rFonts w:ascii="Century Gothic" w:hAnsi="Century Gothic"/>
          <w:sz w:val="20"/>
          <w:szCs w:val="20"/>
        </w:rPr>
      </w:pPr>
      <w:r w:rsidRPr="00E10543">
        <w:rPr>
          <w:rFonts w:ascii="Century Gothic" w:hAnsi="Century Gothic"/>
          <w:sz w:val="20"/>
          <w:szCs w:val="20"/>
        </w:rPr>
        <w:t>Como lo ha sostenido la jurisprudencia, no es la violencia contra la mujer o cualquier violencia de género lo que configura la intención de matar por razones de ser mujer o por motivos de su identidad de género. Ello se evidencia más bien a través de una cadena o círculo de violencia que crea un patrón de discriminación y unas condiciones estructurales que hacen de su homicidio una consecuencia de patrones de la desigualdad imbuida en la sociedad</w:t>
      </w:r>
      <w:r w:rsidRPr="00E10543">
        <w:rPr>
          <w:rFonts w:ascii="Century Gothic" w:hAnsi="Century Gothic"/>
          <w:sz w:val="20"/>
          <w:szCs w:val="20"/>
          <w:vertAlign w:val="superscript"/>
        </w:rPr>
        <w:footnoteReference w:id="18"/>
      </w:r>
      <w:r w:rsidRPr="00E10543">
        <w:rPr>
          <w:rFonts w:ascii="Century Gothic" w:hAnsi="Century Gothic"/>
          <w:sz w:val="20"/>
          <w:szCs w:val="20"/>
        </w:rPr>
        <w:t>, e instanciada en la brutalidad particular del homicida, ahora un feminicida. Dichos patrones se manifiestan en diversas formas de violencia, que pueden tener un carácter sistemático o no. Esta violencia se evidencia tanto en elementos de periodicidad como en tratos que suponen una visión de roles de género estereotipados o arraigados en la cultura que posicionan a la mujer como un objeto o una propiedad desechable con ciertas funciones que se ven inferiores a las del hombre</w:t>
      </w:r>
      <w:r w:rsidRPr="00E10543">
        <w:rPr>
          <w:rFonts w:ascii="Century Gothic" w:hAnsi="Century Gothic"/>
          <w:sz w:val="20"/>
          <w:szCs w:val="20"/>
          <w:vertAlign w:val="superscript"/>
        </w:rPr>
        <w:footnoteReference w:id="19"/>
      </w:r>
      <w:r w:rsidRPr="00E10543">
        <w:rPr>
          <w:rFonts w:ascii="Century Gothic" w:hAnsi="Century Gothic"/>
          <w:sz w:val="20"/>
          <w:szCs w:val="20"/>
        </w:rPr>
        <w:t>.</w:t>
      </w:r>
    </w:p>
    <w:p w14:paraId="1BC81AE0" w14:textId="70A52B0F" w:rsidR="00EA6409" w:rsidRDefault="00EA6409" w:rsidP="00E10543">
      <w:pPr>
        <w:spacing w:before="180" w:after="180" w:line="276" w:lineRule="auto"/>
        <w:ind w:left="426"/>
        <w:jc w:val="both"/>
        <w:rPr>
          <w:rFonts w:ascii="Century Gothic" w:hAnsi="Century Gothic"/>
          <w:sz w:val="20"/>
          <w:szCs w:val="20"/>
        </w:rPr>
      </w:pPr>
    </w:p>
    <w:p w14:paraId="0B71E0C1" w14:textId="40D63BD8" w:rsidR="00EA6409" w:rsidRDefault="00EA6409" w:rsidP="00E10543">
      <w:pPr>
        <w:spacing w:before="180" w:after="180" w:line="276" w:lineRule="auto"/>
        <w:ind w:left="426"/>
        <w:jc w:val="both"/>
        <w:rPr>
          <w:rFonts w:ascii="Century Gothic" w:hAnsi="Century Gothic"/>
          <w:sz w:val="20"/>
          <w:szCs w:val="20"/>
        </w:rPr>
      </w:pPr>
    </w:p>
    <w:p w14:paraId="75C2A32F" w14:textId="1174CD7E" w:rsidR="00EA6409" w:rsidRDefault="00EA6409" w:rsidP="00E10543">
      <w:pPr>
        <w:spacing w:before="180" w:after="180" w:line="276" w:lineRule="auto"/>
        <w:ind w:left="426"/>
        <w:jc w:val="both"/>
        <w:rPr>
          <w:rFonts w:ascii="Century Gothic" w:hAnsi="Century Gothic"/>
          <w:sz w:val="20"/>
          <w:szCs w:val="20"/>
        </w:rPr>
      </w:pPr>
    </w:p>
    <w:p w14:paraId="48FC1DD6" w14:textId="77777777" w:rsidR="00EA6409" w:rsidRPr="00E10543" w:rsidRDefault="00EA6409" w:rsidP="00E10543">
      <w:pPr>
        <w:spacing w:before="180" w:after="180" w:line="276" w:lineRule="auto"/>
        <w:ind w:left="426"/>
        <w:jc w:val="both"/>
        <w:rPr>
          <w:rFonts w:ascii="Century Gothic" w:hAnsi="Century Gothic"/>
          <w:sz w:val="20"/>
          <w:szCs w:val="20"/>
        </w:rPr>
      </w:pPr>
    </w:p>
    <w:p w14:paraId="3C2B3C9D" w14:textId="77777777" w:rsidR="004F7052" w:rsidRPr="00E10543" w:rsidRDefault="004F7052" w:rsidP="00E10543">
      <w:pPr>
        <w:spacing w:line="276" w:lineRule="auto"/>
        <w:ind w:left="426"/>
        <w:jc w:val="both"/>
        <w:rPr>
          <w:rFonts w:ascii="Century Gothic" w:hAnsi="Century Gothic"/>
          <w:sz w:val="20"/>
          <w:szCs w:val="20"/>
        </w:rPr>
      </w:pPr>
      <w:r w:rsidRPr="00E10543">
        <w:rPr>
          <w:rFonts w:ascii="Century Gothic" w:hAnsi="Century Gothic"/>
          <w:sz w:val="20"/>
          <w:szCs w:val="20"/>
        </w:rPr>
        <w:lastRenderedPageBreak/>
        <w:t xml:space="preserve">La Fiscalía General de la Nación reporta </w:t>
      </w:r>
      <w:r w:rsidRPr="00E10543">
        <w:rPr>
          <w:rFonts w:ascii="Century Gothic" w:hAnsi="Century Gothic"/>
          <w:b/>
          <w:sz w:val="20"/>
          <w:szCs w:val="20"/>
        </w:rPr>
        <w:t>2.730 casos,</w:t>
      </w:r>
      <w:r w:rsidRPr="00E10543">
        <w:rPr>
          <w:rFonts w:ascii="Century Gothic" w:hAnsi="Century Gothic"/>
          <w:sz w:val="20"/>
          <w:szCs w:val="20"/>
        </w:rPr>
        <w:t xml:space="preserve"> distribuidos así: </w:t>
      </w:r>
    </w:p>
    <w:p w14:paraId="61C11532" w14:textId="77777777" w:rsidR="004F7052" w:rsidRPr="00E10543" w:rsidRDefault="004F7052" w:rsidP="00E10543">
      <w:pPr>
        <w:spacing w:line="276" w:lineRule="auto"/>
        <w:ind w:left="426"/>
        <w:jc w:val="both"/>
        <w:rPr>
          <w:rFonts w:ascii="Century Gothic" w:hAnsi="Century Gothic"/>
          <w:sz w:val="20"/>
          <w:szCs w:val="20"/>
        </w:rPr>
      </w:pPr>
    </w:p>
    <w:tbl>
      <w:tblPr>
        <w:tblW w:w="8376" w:type="dxa"/>
        <w:tblInd w:w="699" w:type="dxa"/>
        <w:tblBorders>
          <w:top w:val="nil"/>
          <w:left w:val="nil"/>
          <w:bottom w:val="nil"/>
          <w:right w:val="nil"/>
          <w:insideH w:val="nil"/>
          <w:insideV w:val="nil"/>
        </w:tblBorders>
        <w:tblLayout w:type="fixed"/>
        <w:tblLook w:val="0600" w:firstRow="0" w:lastRow="0" w:firstColumn="0" w:lastColumn="0" w:noHBand="1" w:noVBand="1"/>
      </w:tblPr>
      <w:tblGrid>
        <w:gridCol w:w="4678"/>
        <w:gridCol w:w="1701"/>
        <w:gridCol w:w="1997"/>
      </w:tblGrid>
      <w:tr w:rsidR="004F7052" w:rsidRPr="00E10543" w14:paraId="7E2A2811" w14:textId="77777777" w:rsidTr="002C1CA8">
        <w:trPr>
          <w:trHeight w:val="401"/>
        </w:trPr>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71361" w14:textId="1DF46999" w:rsidR="004F7052" w:rsidRPr="00E10543" w:rsidRDefault="004F7052" w:rsidP="002C1CA8">
            <w:pPr>
              <w:spacing w:line="276" w:lineRule="auto"/>
              <w:ind w:left="426"/>
              <w:jc w:val="center"/>
              <w:rPr>
                <w:rFonts w:ascii="Century Gothic" w:hAnsi="Century Gothic"/>
                <w:b/>
                <w:sz w:val="20"/>
                <w:szCs w:val="20"/>
              </w:rPr>
            </w:pPr>
            <w:r w:rsidRPr="00E10543">
              <w:rPr>
                <w:rFonts w:ascii="Century Gothic" w:hAnsi="Century Gothic"/>
                <w:b/>
                <w:sz w:val="20"/>
                <w:szCs w:val="20"/>
              </w:rPr>
              <w:t>Artículo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F3F82" w14:textId="3DAFE6D7" w:rsidR="004F7052" w:rsidRPr="00E10543" w:rsidRDefault="00E10543" w:rsidP="002C1CA8">
            <w:pPr>
              <w:spacing w:line="276" w:lineRule="auto"/>
              <w:ind w:left="181"/>
              <w:rPr>
                <w:rFonts w:ascii="Century Gothic" w:hAnsi="Century Gothic"/>
                <w:b/>
                <w:sz w:val="20"/>
                <w:szCs w:val="20"/>
              </w:rPr>
            </w:pPr>
            <w:r w:rsidRPr="00E10543">
              <w:rPr>
                <w:rFonts w:ascii="Century Gothic" w:hAnsi="Century Gothic"/>
                <w:b/>
                <w:sz w:val="20"/>
                <w:szCs w:val="20"/>
              </w:rPr>
              <w:t>No</w:t>
            </w:r>
            <w:r w:rsidR="002C1CA8">
              <w:rPr>
                <w:rFonts w:ascii="Century Gothic" w:hAnsi="Century Gothic"/>
                <w:b/>
                <w:sz w:val="20"/>
                <w:szCs w:val="20"/>
              </w:rPr>
              <w:t xml:space="preserve">. </w:t>
            </w:r>
            <w:r w:rsidRPr="00E10543">
              <w:rPr>
                <w:rFonts w:ascii="Century Gothic" w:hAnsi="Century Gothic"/>
                <w:b/>
                <w:sz w:val="20"/>
                <w:szCs w:val="20"/>
              </w:rPr>
              <w:t>Victimas</w:t>
            </w:r>
          </w:p>
        </w:tc>
        <w:tc>
          <w:tcPr>
            <w:tcW w:w="1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4652B" w14:textId="018AD5A4" w:rsidR="004F7052" w:rsidRPr="00E10543" w:rsidRDefault="004F7052" w:rsidP="002C1CA8">
            <w:pPr>
              <w:spacing w:line="276" w:lineRule="auto"/>
              <w:ind w:left="181"/>
              <w:jc w:val="center"/>
              <w:rPr>
                <w:rFonts w:ascii="Century Gothic" w:hAnsi="Century Gothic"/>
                <w:b/>
                <w:sz w:val="20"/>
                <w:szCs w:val="20"/>
              </w:rPr>
            </w:pPr>
            <w:r w:rsidRPr="00E10543">
              <w:rPr>
                <w:rFonts w:ascii="Century Gothic" w:hAnsi="Century Gothic"/>
                <w:b/>
                <w:sz w:val="20"/>
                <w:szCs w:val="20"/>
              </w:rPr>
              <w:t>N</w:t>
            </w:r>
            <w:r w:rsidR="002C1CA8">
              <w:rPr>
                <w:rFonts w:ascii="Century Gothic" w:hAnsi="Century Gothic"/>
                <w:b/>
                <w:sz w:val="20"/>
                <w:szCs w:val="20"/>
              </w:rPr>
              <w:t>o.</w:t>
            </w:r>
            <w:r w:rsidRPr="00E10543">
              <w:rPr>
                <w:rFonts w:ascii="Century Gothic" w:hAnsi="Century Gothic"/>
                <w:b/>
                <w:sz w:val="20"/>
                <w:szCs w:val="20"/>
              </w:rPr>
              <w:t xml:space="preserve"> de procesos</w:t>
            </w:r>
          </w:p>
        </w:tc>
      </w:tr>
      <w:tr w:rsidR="004F7052" w:rsidRPr="00E10543" w14:paraId="622B3FE2" w14:textId="77777777" w:rsidTr="002C1CA8">
        <w:trPr>
          <w:trHeight w:val="485"/>
        </w:trPr>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00159" w14:textId="77777777" w:rsidR="004F7052" w:rsidRPr="00E10543" w:rsidRDefault="004F7052" w:rsidP="002C1CA8">
            <w:pPr>
              <w:widowControl w:val="0"/>
              <w:pBdr>
                <w:top w:val="nil"/>
                <w:left w:val="nil"/>
                <w:bottom w:val="nil"/>
                <w:right w:val="nil"/>
                <w:between w:val="nil"/>
              </w:pBdr>
              <w:spacing w:line="276" w:lineRule="auto"/>
              <w:ind w:left="426"/>
              <w:rPr>
                <w:rFonts w:ascii="Century Gothic" w:hAnsi="Century Gothic"/>
                <w:b/>
                <w:sz w:val="20"/>
                <w:szCs w:val="20"/>
              </w:rPr>
            </w:pPr>
            <w:r w:rsidRPr="00E10543">
              <w:rPr>
                <w:rFonts w:ascii="Century Gothic" w:hAnsi="Century Gothic"/>
                <w:b/>
                <w:sz w:val="20"/>
                <w:szCs w:val="20"/>
              </w:rPr>
              <w:t>FEMINICIDIO ART. 104A C.P.</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07FD6" w14:textId="77777777" w:rsidR="004F7052" w:rsidRPr="00E10543" w:rsidRDefault="004F7052" w:rsidP="002C1CA8">
            <w:pPr>
              <w:widowControl w:val="0"/>
              <w:pBdr>
                <w:top w:val="nil"/>
                <w:left w:val="nil"/>
                <w:bottom w:val="nil"/>
                <w:right w:val="nil"/>
                <w:between w:val="nil"/>
              </w:pBdr>
              <w:spacing w:line="276" w:lineRule="auto"/>
              <w:ind w:left="181"/>
              <w:jc w:val="center"/>
              <w:rPr>
                <w:rFonts w:ascii="Century Gothic" w:hAnsi="Century Gothic"/>
                <w:sz w:val="20"/>
                <w:szCs w:val="20"/>
              </w:rPr>
            </w:pPr>
            <w:r w:rsidRPr="00E10543">
              <w:rPr>
                <w:rFonts w:ascii="Century Gothic" w:hAnsi="Century Gothic"/>
                <w:sz w:val="20"/>
                <w:szCs w:val="20"/>
              </w:rPr>
              <w:t>3.286</w:t>
            </w:r>
          </w:p>
        </w:tc>
        <w:tc>
          <w:tcPr>
            <w:tcW w:w="1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4F9AE" w14:textId="77777777" w:rsidR="004F7052" w:rsidRPr="00E10543" w:rsidRDefault="004F7052" w:rsidP="002C1CA8">
            <w:pPr>
              <w:widowControl w:val="0"/>
              <w:pBdr>
                <w:top w:val="nil"/>
                <w:left w:val="nil"/>
                <w:bottom w:val="nil"/>
                <w:right w:val="nil"/>
                <w:between w:val="nil"/>
              </w:pBdr>
              <w:spacing w:line="276" w:lineRule="auto"/>
              <w:ind w:left="181"/>
              <w:jc w:val="center"/>
              <w:rPr>
                <w:rFonts w:ascii="Century Gothic" w:hAnsi="Century Gothic"/>
                <w:sz w:val="20"/>
                <w:szCs w:val="20"/>
              </w:rPr>
            </w:pPr>
            <w:r w:rsidRPr="00E10543">
              <w:rPr>
                <w:rFonts w:ascii="Century Gothic" w:hAnsi="Century Gothic"/>
                <w:sz w:val="20"/>
                <w:szCs w:val="20"/>
              </w:rPr>
              <w:t>2.455</w:t>
            </w:r>
          </w:p>
        </w:tc>
      </w:tr>
      <w:tr w:rsidR="004F7052" w:rsidRPr="00E10543" w14:paraId="6BD2F60C" w14:textId="77777777" w:rsidTr="002C1CA8">
        <w:trPr>
          <w:trHeight w:val="750"/>
        </w:trPr>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E995E" w14:textId="77777777" w:rsidR="004F7052" w:rsidRPr="00E10543" w:rsidRDefault="004F7052" w:rsidP="002C1CA8">
            <w:pPr>
              <w:widowControl w:val="0"/>
              <w:pBdr>
                <w:top w:val="nil"/>
                <w:left w:val="nil"/>
                <w:bottom w:val="nil"/>
                <w:right w:val="nil"/>
                <w:between w:val="nil"/>
              </w:pBdr>
              <w:spacing w:line="276" w:lineRule="auto"/>
              <w:ind w:left="426"/>
              <w:rPr>
                <w:rFonts w:ascii="Century Gothic" w:hAnsi="Century Gothic"/>
                <w:b/>
                <w:sz w:val="20"/>
                <w:szCs w:val="20"/>
              </w:rPr>
            </w:pPr>
            <w:r w:rsidRPr="00E10543">
              <w:rPr>
                <w:rFonts w:ascii="Century Gothic" w:hAnsi="Century Gothic"/>
                <w:b/>
                <w:sz w:val="20"/>
                <w:szCs w:val="20"/>
              </w:rPr>
              <w:t>FEMINICIDIO ART. 104A C.P. AGRAVADO NUM. 1, 3, 5, 7 Y 8 DEL ART. 104. ART. 104B L.G</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E83F0" w14:textId="77777777" w:rsidR="004F7052" w:rsidRPr="00E10543" w:rsidRDefault="004F7052" w:rsidP="002C1CA8">
            <w:pPr>
              <w:widowControl w:val="0"/>
              <w:pBdr>
                <w:top w:val="nil"/>
                <w:left w:val="nil"/>
                <w:bottom w:val="nil"/>
                <w:right w:val="nil"/>
                <w:between w:val="nil"/>
              </w:pBdr>
              <w:spacing w:line="276" w:lineRule="auto"/>
              <w:ind w:left="181"/>
              <w:jc w:val="center"/>
              <w:rPr>
                <w:rFonts w:ascii="Century Gothic" w:hAnsi="Century Gothic"/>
                <w:sz w:val="20"/>
                <w:szCs w:val="20"/>
              </w:rPr>
            </w:pPr>
            <w:r w:rsidRPr="00E10543">
              <w:rPr>
                <w:rFonts w:ascii="Century Gothic" w:hAnsi="Century Gothic"/>
                <w:sz w:val="20"/>
                <w:szCs w:val="20"/>
              </w:rPr>
              <w:t>129</w:t>
            </w:r>
          </w:p>
        </w:tc>
        <w:tc>
          <w:tcPr>
            <w:tcW w:w="1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87165" w14:textId="77777777" w:rsidR="004F7052" w:rsidRPr="00E10543" w:rsidRDefault="004F7052" w:rsidP="002C1CA8">
            <w:pPr>
              <w:widowControl w:val="0"/>
              <w:pBdr>
                <w:top w:val="nil"/>
                <w:left w:val="nil"/>
                <w:bottom w:val="nil"/>
                <w:right w:val="nil"/>
                <w:between w:val="nil"/>
              </w:pBdr>
              <w:spacing w:line="276" w:lineRule="auto"/>
              <w:ind w:left="181"/>
              <w:jc w:val="center"/>
              <w:rPr>
                <w:rFonts w:ascii="Century Gothic" w:hAnsi="Century Gothic"/>
                <w:sz w:val="20"/>
                <w:szCs w:val="20"/>
              </w:rPr>
            </w:pPr>
            <w:r w:rsidRPr="00E10543">
              <w:rPr>
                <w:rFonts w:ascii="Century Gothic" w:hAnsi="Century Gothic"/>
                <w:sz w:val="20"/>
                <w:szCs w:val="20"/>
              </w:rPr>
              <w:t>116</w:t>
            </w:r>
          </w:p>
        </w:tc>
      </w:tr>
      <w:tr w:rsidR="004F7052" w:rsidRPr="00E10543" w14:paraId="66A6E692" w14:textId="77777777" w:rsidTr="002C1CA8">
        <w:trPr>
          <w:trHeight w:val="930"/>
        </w:trPr>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619B5" w14:textId="77777777" w:rsidR="004F7052" w:rsidRPr="00E10543" w:rsidRDefault="004F7052" w:rsidP="002C1CA8">
            <w:pPr>
              <w:widowControl w:val="0"/>
              <w:pBdr>
                <w:top w:val="nil"/>
                <w:left w:val="nil"/>
                <w:bottom w:val="nil"/>
                <w:right w:val="nil"/>
                <w:between w:val="nil"/>
              </w:pBdr>
              <w:spacing w:line="276" w:lineRule="auto"/>
              <w:ind w:left="426"/>
              <w:rPr>
                <w:rFonts w:ascii="Century Gothic" w:hAnsi="Century Gothic"/>
                <w:b/>
                <w:sz w:val="20"/>
                <w:szCs w:val="20"/>
              </w:rPr>
            </w:pPr>
            <w:r w:rsidRPr="00E10543">
              <w:rPr>
                <w:rFonts w:ascii="Century Gothic" w:hAnsi="Century Gothic"/>
                <w:b/>
                <w:sz w:val="20"/>
                <w:szCs w:val="20"/>
              </w:rPr>
              <w:t>FEMINICIDIO ART. 104A C.P. AGRAVADO POR COMETERSE EN PRESENCIA DE UNA PERSONA INTEGRANTE DE LA UNIDAD DOMÉSTICA. ART. 104B L.E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4E53C" w14:textId="77777777" w:rsidR="004F7052" w:rsidRPr="00E10543" w:rsidRDefault="004F7052" w:rsidP="002C1CA8">
            <w:pPr>
              <w:widowControl w:val="0"/>
              <w:pBdr>
                <w:top w:val="nil"/>
                <w:left w:val="nil"/>
                <w:bottom w:val="nil"/>
                <w:right w:val="nil"/>
                <w:between w:val="nil"/>
              </w:pBdr>
              <w:spacing w:line="276" w:lineRule="auto"/>
              <w:ind w:left="181"/>
              <w:jc w:val="center"/>
              <w:rPr>
                <w:rFonts w:ascii="Century Gothic" w:hAnsi="Century Gothic"/>
                <w:sz w:val="20"/>
                <w:szCs w:val="20"/>
              </w:rPr>
            </w:pPr>
            <w:r w:rsidRPr="00E10543">
              <w:rPr>
                <w:rFonts w:ascii="Century Gothic" w:hAnsi="Century Gothic"/>
                <w:sz w:val="20"/>
                <w:szCs w:val="20"/>
              </w:rPr>
              <w:t>58</w:t>
            </w:r>
          </w:p>
        </w:tc>
        <w:tc>
          <w:tcPr>
            <w:tcW w:w="1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AF648" w14:textId="77777777" w:rsidR="004F7052" w:rsidRPr="00E10543" w:rsidRDefault="004F7052" w:rsidP="002C1CA8">
            <w:pPr>
              <w:widowControl w:val="0"/>
              <w:pBdr>
                <w:top w:val="nil"/>
                <w:left w:val="nil"/>
                <w:bottom w:val="nil"/>
                <w:right w:val="nil"/>
                <w:between w:val="nil"/>
              </w:pBdr>
              <w:spacing w:line="276" w:lineRule="auto"/>
              <w:ind w:left="181"/>
              <w:jc w:val="center"/>
              <w:rPr>
                <w:rFonts w:ascii="Century Gothic" w:hAnsi="Century Gothic"/>
                <w:sz w:val="20"/>
                <w:szCs w:val="20"/>
              </w:rPr>
            </w:pPr>
            <w:r w:rsidRPr="00E10543">
              <w:rPr>
                <w:rFonts w:ascii="Century Gothic" w:hAnsi="Century Gothic"/>
                <w:sz w:val="20"/>
                <w:szCs w:val="20"/>
              </w:rPr>
              <w:t>45</w:t>
            </w:r>
          </w:p>
        </w:tc>
      </w:tr>
      <w:tr w:rsidR="004F7052" w:rsidRPr="00E10543" w14:paraId="4DE69FD4" w14:textId="77777777" w:rsidTr="002C1CA8">
        <w:trPr>
          <w:trHeight w:val="585"/>
        </w:trPr>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854A5" w14:textId="77777777" w:rsidR="004F7052" w:rsidRPr="00E10543" w:rsidRDefault="004F7052" w:rsidP="002C1CA8">
            <w:pPr>
              <w:widowControl w:val="0"/>
              <w:pBdr>
                <w:top w:val="nil"/>
                <w:left w:val="nil"/>
                <w:bottom w:val="nil"/>
                <w:right w:val="nil"/>
                <w:between w:val="nil"/>
              </w:pBdr>
              <w:spacing w:line="276" w:lineRule="auto"/>
              <w:ind w:left="426"/>
              <w:rPr>
                <w:rFonts w:ascii="Century Gothic" w:hAnsi="Century Gothic"/>
                <w:b/>
                <w:sz w:val="20"/>
                <w:szCs w:val="20"/>
              </w:rPr>
            </w:pPr>
            <w:r w:rsidRPr="00E10543">
              <w:rPr>
                <w:rFonts w:ascii="Century Gothic" w:hAnsi="Century Gothic"/>
                <w:b/>
                <w:sz w:val="20"/>
                <w:szCs w:val="20"/>
              </w:rPr>
              <w:t>FEMINICIDIO ART. 104A C.P. AGRAVADO POR AGRESIÓN SEXUAL, FÍSICA O PSICOLÓGICA. ART. 104B L.F</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3FD1C" w14:textId="77777777" w:rsidR="004F7052" w:rsidRPr="00E10543" w:rsidRDefault="004F7052" w:rsidP="002C1CA8">
            <w:pPr>
              <w:widowControl w:val="0"/>
              <w:pBdr>
                <w:top w:val="nil"/>
                <w:left w:val="nil"/>
                <w:bottom w:val="nil"/>
                <w:right w:val="nil"/>
                <w:between w:val="nil"/>
              </w:pBdr>
              <w:spacing w:line="276" w:lineRule="auto"/>
              <w:ind w:left="181"/>
              <w:jc w:val="center"/>
              <w:rPr>
                <w:rFonts w:ascii="Century Gothic" w:hAnsi="Century Gothic"/>
                <w:sz w:val="20"/>
                <w:szCs w:val="20"/>
              </w:rPr>
            </w:pPr>
            <w:r w:rsidRPr="00E10543">
              <w:rPr>
                <w:rFonts w:ascii="Century Gothic" w:hAnsi="Century Gothic"/>
                <w:sz w:val="20"/>
                <w:szCs w:val="20"/>
              </w:rPr>
              <w:t>42</w:t>
            </w:r>
          </w:p>
        </w:tc>
        <w:tc>
          <w:tcPr>
            <w:tcW w:w="1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1D35F" w14:textId="77777777" w:rsidR="004F7052" w:rsidRPr="00E10543" w:rsidRDefault="004F7052" w:rsidP="002C1CA8">
            <w:pPr>
              <w:widowControl w:val="0"/>
              <w:pBdr>
                <w:top w:val="nil"/>
                <w:left w:val="nil"/>
                <w:bottom w:val="nil"/>
                <w:right w:val="nil"/>
                <w:between w:val="nil"/>
              </w:pBdr>
              <w:spacing w:line="276" w:lineRule="auto"/>
              <w:ind w:left="181"/>
              <w:jc w:val="center"/>
              <w:rPr>
                <w:rFonts w:ascii="Century Gothic" w:hAnsi="Century Gothic"/>
                <w:sz w:val="20"/>
                <w:szCs w:val="20"/>
              </w:rPr>
            </w:pPr>
            <w:r w:rsidRPr="00E10543">
              <w:rPr>
                <w:rFonts w:ascii="Century Gothic" w:hAnsi="Century Gothic"/>
                <w:sz w:val="20"/>
                <w:szCs w:val="20"/>
              </w:rPr>
              <w:t>44</w:t>
            </w:r>
          </w:p>
        </w:tc>
      </w:tr>
      <w:tr w:rsidR="004F7052" w:rsidRPr="00E10543" w14:paraId="2498A3CB" w14:textId="77777777" w:rsidTr="002C1CA8">
        <w:trPr>
          <w:trHeight w:val="660"/>
        </w:trPr>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E6A53"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b/>
                <w:sz w:val="20"/>
                <w:szCs w:val="20"/>
              </w:rPr>
            </w:pPr>
            <w:r w:rsidRPr="00E10543">
              <w:rPr>
                <w:rFonts w:ascii="Century Gothic" w:hAnsi="Century Gothic"/>
                <w:b/>
                <w:sz w:val="20"/>
                <w:szCs w:val="20"/>
              </w:rPr>
              <w:t>FEMINICIDIO ART. 104A C.P. AGRAVADO POR VICTIMA MENOR DE 18 AÑOS, MAYOR DE 60 O EMBARAZO. ART. 104B L.B</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1B19E"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sz w:val="20"/>
                <w:szCs w:val="20"/>
              </w:rPr>
            </w:pPr>
            <w:r w:rsidRPr="00E10543">
              <w:rPr>
                <w:rFonts w:ascii="Century Gothic" w:hAnsi="Century Gothic"/>
                <w:sz w:val="20"/>
                <w:szCs w:val="20"/>
              </w:rPr>
              <w:t>37</w:t>
            </w:r>
          </w:p>
        </w:tc>
        <w:tc>
          <w:tcPr>
            <w:tcW w:w="1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7CE78"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sz w:val="20"/>
                <w:szCs w:val="20"/>
              </w:rPr>
            </w:pPr>
            <w:r w:rsidRPr="00E10543">
              <w:rPr>
                <w:rFonts w:ascii="Century Gothic" w:hAnsi="Century Gothic"/>
                <w:sz w:val="20"/>
                <w:szCs w:val="20"/>
              </w:rPr>
              <w:t>33</w:t>
            </w:r>
          </w:p>
        </w:tc>
      </w:tr>
      <w:tr w:rsidR="004F7052" w:rsidRPr="00E10543" w14:paraId="573C1DD5" w14:textId="77777777" w:rsidTr="002C1CA8">
        <w:trPr>
          <w:trHeight w:val="630"/>
        </w:trPr>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06031"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b/>
                <w:sz w:val="20"/>
                <w:szCs w:val="20"/>
              </w:rPr>
            </w:pPr>
            <w:r w:rsidRPr="00E10543">
              <w:rPr>
                <w:rFonts w:ascii="Century Gothic" w:hAnsi="Century Gothic"/>
                <w:b/>
                <w:sz w:val="20"/>
                <w:szCs w:val="20"/>
              </w:rPr>
              <w:t>FEMINICIDIO ART. 104A C.P. AGRAVADO NUM. 1, 3, 5, 6, 7 Y 6 (SIC) DEL ART. 104. ART. 104B L.G Modificado Ley 2197 de 2022</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6E92D"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sz w:val="20"/>
                <w:szCs w:val="20"/>
              </w:rPr>
            </w:pPr>
            <w:r w:rsidRPr="00E10543">
              <w:rPr>
                <w:rFonts w:ascii="Century Gothic" w:hAnsi="Century Gothic"/>
                <w:sz w:val="20"/>
                <w:szCs w:val="20"/>
              </w:rPr>
              <w:t>23</w:t>
            </w:r>
          </w:p>
        </w:tc>
        <w:tc>
          <w:tcPr>
            <w:tcW w:w="1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C5817"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sz w:val="20"/>
                <w:szCs w:val="20"/>
              </w:rPr>
            </w:pPr>
            <w:r w:rsidRPr="00E10543">
              <w:rPr>
                <w:rFonts w:ascii="Century Gothic" w:hAnsi="Century Gothic"/>
                <w:sz w:val="20"/>
                <w:szCs w:val="20"/>
              </w:rPr>
              <w:t>21</w:t>
            </w:r>
          </w:p>
        </w:tc>
      </w:tr>
      <w:tr w:rsidR="004F7052" w:rsidRPr="00E10543" w14:paraId="63FA5906" w14:textId="77777777" w:rsidTr="002C1CA8">
        <w:trPr>
          <w:trHeight w:val="645"/>
        </w:trPr>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1460E"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b/>
                <w:sz w:val="20"/>
                <w:szCs w:val="20"/>
              </w:rPr>
            </w:pPr>
            <w:r w:rsidRPr="00E10543">
              <w:rPr>
                <w:rFonts w:ascii="Century Gothic" w:hAnsi="Century Gothic"/>
                <w:b/>
                <w:sz w:val="20"/>
                <w:szCs w:val="20"/>
              </w:rPr>
              <w:t>FEMINICIDIO ART. 104A C.P. AGRAVADO POR CONCURSO DE PERSONAS. ART. 104B L.C</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9511E"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sz w:val="20"/>
                <w:szCs w:val="20"/>
              </w:rPr>
            </w:pPr>
            <w:r w:rsidRPr="00E10543">
              <w:rPr>
                <w:rFonts w:ascii="Century Gothic" w:hAnsi="Century Gothic"/>
                <w:sz w:val="20"/>
                <w:szCs w:val="20"/>
              </w:rPr>
              <w:t>11</w:t>
            </w:r>
          </w:p>
        </w:tc>
        <w:tc>
          <w:tcPr>
            <w:tcW w:w="1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9B10F"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sz w:val="20"/>
                <w:szCs w:val="20"/>
              </w:rPr>
            </w:pPr>
            <w:r w:rsidRPr="00E10543">
              <w:rPr>
                <w:rFonts w:ascii="Century Gothic" w:hAnsi="Century Gothic"/>
                <w:sz w:val="20"/>
                <w:szCs w:val="20"/>
              </w:rPr>
              <w:t>11</w:t>
            </w:r>
          </w:p>
        </w:tc>
      </w:tr>
      <w:tr w:rsidR="004F7052" w:rsidRPr="00E10543" w14:paraId="47F4AECD" w14:textId="77777777" w:rsidTr="002C1CA8">
        <w:trPr>
          <w:trHeight w:val="975"/>
        </w:trPr>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62D73"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b/>
                <w:sz w:val="20"/>
                <w:szCs w:val="20"/>
              </w:rPr>
            </w:pPr>
            <w:r w:rsidRPr="00E10543">
              <w:rPr>
                <w:rFonts w:ascii="Century Gothic" w:hAnsi="Century Gothic"/>
                <w:b/>
                <w:sz w:val="20"/>
                <w:szCs w:val="20"/>
              </w:rPr>
              <w:t>FEMINICIDIO ART. 104A C.P. AGRAVADO POR DISCAPACIDAD, DESPLAZAMIENTO FORZADO, CONDICIÓN SOCIOECO. O PREJUICIOS ART. 104B L.D</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A4854"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sz w:val="20"/>
                <w:szCs w:val="20"/>
              </w:rPr>
            </w:pPr>
            <w:r w:rsidRPr="00E10543">
              <w:rPr>
                <w:rFonts w:ascii="Century Gothic" w:hAnsi="Century Gothic"/>
                <w:sz w:val="20"/>
                <w:szCs w:val="20"/>
              </w:rPr>
              <w:t>1</w:t>
            </w:r>
          </w:p>
        </w:tc>
        <w:tc>
          <w:tcPr>
            <w:tcW w:w="1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59727"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sz w:val="20"/>
                <w:szCs w:val="20"/>
              </w:rPr>
            </w:pPr>
            <w:r w:rsidRPr="00E10543">
              <w:rPr>
                <w:rFonts w:ascii="Century Gothic" w:hAnsi="Century Gothic"/>
                <w:sz w:val="20"/>
                <w:szCs w:val="20"/>
              </w:rPr>
              <w:t>2</w:t>
            </w:r>
          </w:p>
        </w:tc>
      </w:tr>
      <w:tr w:rsidR="004F7052" w:rsidRPr="00E10543" w14:paraId="4252A6BF" w14:textId="77777777" w:rsidTr="002C1CA8">
        <w:trPr>
          <w:trHeight w:val="705"/>
        </w:trPr>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2BD13"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b/>
                <w:sz w:val="20"/>
                <w:szCs w:val="20"/>
              </w:rPr>
            </w:pPr>
            <w:r w:rsidRPr="00E10543">
              <w:rPr>
                <w:rFonts w:ascii="Century Gothic" w:hAnsi="Century Gothic"/>
                <w:b/>
                <w:sz w:val="20"/>
                <w:szCs w:val="20"/>
              </w:rPr>
              <w:t>FEMINICIDIO ART. 104A C.P. AGRAVADO POR LA CALIDAD DE SERVIDOR PÚBLICO. ART. 104B L.A</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C4A22"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sz w:val="20"/>
                <w:szCs w:val="20"/>
              </w:rPr>
            </w:pPr>
            <w:r w:rsidRPr="00E10543">
              <w:rPr>
                <w:rFonts w:ascii="Century Gothic" w:hAnsi="Century Gothic"/>
                <w:sz w:val="20"/>
                <w:szCs w:val="20"/>
              </w:rPr>
              <w:t>2</w:t>
            </w:r>
          </w:p>
        </w:tc>
        <w:tc>
          <w:tcPr>
            <w:tcW w:w="1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4D816"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sz w:val="20"/>
                <w:szCs w:val="20"/>
              </w:rPr>
            </w:pPr>
            <w:r w:rsidRPr="00E10543">
              <w:rPr>
                <w:rFonts w:ascii="Century Gothic" w:hAnsi="Century Gothic"/>
                <w:sz w:val="20"/>
                <w:szCs w:val="20"/>
              </w:rPr>
              <w:t>2</w:t>
            </w:r>
          </w:p>
        </w:tc>
      </w:tr>
      <w:tr w:rsidR="004F7052" w:rsidRPr="00E10543" w14:paraId="5CDE1B95" w14:textId="77777777" w:rsidTr="002C1CA8">
        <w:trPr>
          <w:trHeight w:val="735"/>
        </w:trPr>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3D6CF"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b/>
                <w:sz w:val="20"/>
                <w:szCs w:val="20"/>
              </w:rPr>
            </w:pPr>
            <w:r w:rsidRPr="00E10543">
              <w:rPr>
                <w:rFonts w:ascii="Century Gothic" w:hAnsi="Century Gothic"/>
                <w:b/>
                <w:sz w:val="20"/>
                <w:szCs w:val="20"/>
              </w:rPr>
              <w:t>CIRCUNSTANCIA DE AGRAVACIÓN PUNIBLE DEL FEMINICIDIO ART 104B CP LEY 1761 DE 2015</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4B2D8"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sz w:val="20"/>
                <w:szCs w:val="20"/>
              </w:rPr>
            </w:pPr>
            <w:r w:rsidRPr="00E10543">
              <w:rPr>
                <w:rFonts w:ascii="Century Gothic" w:hAnsi="Century Gothic"/>
                <w:sz w:val="20"/>
                <w:szCs w:val="20"/>
              </w:rPr>
              <w:t>1</w:t>
            </w:r>
          </w:p>
        </w:tc>
        <w:tc>
          <w:tcPr>
            <w:tcW w:w="1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DD4D3"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sz w:val="20"/>
                <w:szCs w:val="20"/>
              </w:rPr>
            </w:pPr>
            <w:r w:rsidRPr="00E10543">
              <w:rPr>
                <w:rFonts w:ascii="Century Gothic" w:hAnsi="Century Gothic"/>
                <w:sz w:val="20"/>
                <w:szCs w:val="20"/>
              </w:rPr>
              <w:t>1</w:t>
            </w:r>
          </w:p>
          <w:p w14:paraId="3BCA59A6" w14:textId="77777777" w:rsidR="004F7052" w:rsidRPr="00E10543" w:rsidRDefault="004F7052" w:rsidP="00E10543">
            <w:pPr>
              <w:widowControl w:val="0"/>
              <w:pBdr>
                <w:top w:val="nil"/>
                <w:left w:val="nil"/>
                <w:bottom w:val="nil"/>
                <w:right w:val="nil"/>
                <w:between w:val="nil"/>
              </w:pBdr>
              <w:spacing w:line="276" w:lineRule="auto"/>
              <w:ind w:left="426"/>
              <w:rPr>
                <w:rFonts w:ascii="Century Gothic" w:hAnsi="Century Gothic"/>
                <w:sz w:val="20"/>
                <w:szCs w:val="20"/>
              </w:rPr>
            </w:pPr>
            <w:r w:rsidRPr="00E10543">
              <w:rPr>
                <w:rFonts w:ascii="Century Gothic" w:hAnsi="Century Gothic"/>
                <w:sz w:val="20"/>
                <w:szCs w:val="20"/>
              </w:rPr>
              <w:t xml:space="preserve"> </w:t>
            </w:r>
          </w:p>
        </w:tc>
      </w:tr>
    </w:tbl>
    <w:p w14:paraId="4FD4FAA5" w14:textId="77777777" w:rsidR="004F7052" w:rsidRPr="00E10543" w:rsidRDefault="004F7052" w:rsidP="00E10543">
      <w:pPr>
        <w:spacing w:line="276" w:lineRule="auto"/>
        <w:ind w:left="426"/>
        <w:jc w:val="both"/>
        <w:rPr>
          <w:rFonts w:ascii="Century Gothic" w:hAnsi="Century Gothic"/>
          <w:i/>
          <w:sz w:val="20"/>
          <w:szCs w:val="20"/>
        </w:rPr>
      </w:pPr>
      <w:r w:rsidRPr="00E10543">
        <w:rPr>
          <w:rFonts w:ascii="Century Gothic" w:hAnsi="Century Gothic"/>
          <w:i/>
          <w:sz w:val="20"/>
          <w:szCs w:val="20"/>
        </w:rPr>
        <w:t>Fuente: Datos abiertos de la Fiscalía General de la Nación.</w:t>
      </w:r>
    </w:p>
    <w:p w14:paraId="38A06BC7" w14:textId="77777777" w:rsidR="004F7052" w:rsidRPr="00E10543" w:rsidRDefault="004F7052" w:rsidP="00E10543">
      <w:pPr>
        <w:spacing w:line="276" w:lineRule="auto"/>
        <w:ind w:left="426"/>
        <w:jc w:val="both"/>
        <w:rPr>
          <w:rFonts w:ascii="Century Gothic" w:hAnsi="Century Gothic"/>
          <w:i/>
          <w:sz w:val="20"/>
          <w:szCs w:val="20"/>
        </w:rPr>
      </w:pPr>
    </w:p>
    <w:p w14:paraId="7D5370FB" w14:textId="77777777" w:rsidR="004F7052" w:rsidRPr="00E10543" w:rsidRDefault="004F7052" w:rsidP="00E10543">
      <w:pPr>
        <w:numPr>
          <w:ilvl w:val="0"/>
          <w:numId w:val="32"/>
        </w:numPr>
        <w:spacing w:line="276" w:lineRule="auto"/>
        <w:ind w:left="426"/>
        <w:jc w:val="both"/>
        <w:rPr>
          <w:rFonts w:ascii="Century Gothic" w:hAnsi="Century Gothic"/>
          <w:b/>
          <w:sz w:val="20"/>
          <w:szCs w:val="20"/>
        </w:rPr>
      </w:pPr>
      <w:r w:rsidRPr="00E10543">
        <w:rPr>
          <w:rFonts w:ascii="Century Gothic" w:hAnsi="Century Gothic"/>
          <w:b/>
          <w:sz w:val="20"/>
          <w:szCs w:val="20"/>
        </w:rPr>
        <w:t>Observatorio Colombiano de Feminicidios</w:t>
      </w:r>
      <w:r w:rsidRPr="00E10543">
        <w:rPr>
          <w:rFonts w:ascii="Century Gothic" w:hAnsi="Century Gothic"/>
          <w:b/>
          <w:sz w:val="20"/>
          <w:szCs w:val="20"/>
          <w:vertAlign w:val="superscript"/>
        </w:rPr>
        <w:footnoteReference w:id="20"/>
      </w:r>
    </w:p>
    <w:p w14:paraId="05223629" w14:textId="77777777" w:rsidR="004F7052" w:rsidRPr="00E10543" w:rsidRDefault="004F7052" w:rsidP="00E10543">
      <w:pPr>
        <w:spacing w:line="276" w:lineRule="auto"/>
        <w:ind w:left="426"/>
        <w:jc w:val="both"/>
        <w:rPr>
          <w:rFonts w:ascii="Century Gothic" w:hAnsi="Century Gothic"/>
          <w:b/>
          <w:sz w:val="20"/>
          <w:szCs w:val="20"/>
        </w:rPr>
      </w:pPr>
    </w:p>
    <w:p w14:paraId="0C8488CE" w14:textId="77777777" w:rsidR="004F7052" w:rsidRPr="00E10543" w:rsidRDefault="004F7052" w:rsidP="00E10543">
      <w:pPr>
        <w:spacing w:line="276" w:lineRule="auto"/>
        <w:ind w:left="426"/>
        <w:jc w:val="both"/>
        <w:rPr>
          <w:rFonts w:ascii="Century Gothic" w:hAnsi="Century Gothic"/>
          <w:b/>
          <w:sz w:val="20"/>
          <w:szCs w:val="20"/>
        </w:rPr>
      </w:pPr>
      <w:r w:rsidRPr="00E10543">
        <w:rPr>
          <w:rFonts w:ascii="Century Gothic" w:hAnsi="Century Gothic"/>
          <w:sz w:val="20"/>
          <w:szCs w:val="20"/>
        </w:rPr>
        <w:t>De acuerdo con el Boletín Nacional del Observatorio Colombiano de Feminicidios, en el 2022 fueron registrados 612 feminicidios en el país, 10 menos en comparación con el 2021 que registró 622.</w:t>
      </w:r>
    </w:p>
    <w:p w14:paraId="53810C5E" w14:textId="77777777" w:rsidR="004F7052" w:rsidRPr="00E10543" w:rsidRDefault="004F7052" w:rsidP="00E10543">
      <w:pPr>
        <w:spacing w:line="276" w:lineRule="auto"/>
        <w:ind w:left="426"/>
        <w:jc w:val="both"/>
        <w:rPr>
          <w:rFonts w:ascii="Century Gothic" w:hAnsi="Century Gothic"/>
          <w:b/>
          <w:sz w:val="20"/>
          <w:szCs w:val="20"/>
        </w:rPr>
      </w:pPr>
    </w:p>
    <w:p w14:paraId="670DA759" w14:textId="77777777" w:rsidR="002C1CA8" w:rsidRDefault="004F7052" w:rsidP="002C1CA8">
      <w:pPr>
        <w:spacing w:line="276" w:lineRule="auto"/>
        <w:ind w:left="426"/>
        <w:jc w:val="both"/>
        <w:rPr>
          <w:rFonts w:ascii="Century Gothic" w:hAnsi="Century Gothic"/>
          <w:sz w:val="20"/>
          <w:szCs w:val="20"/>
        </w:rPr>
      </w:pPr>
      <w:r w:rsidRPr="00E10543">
        <w:rPr>
          <w:rFonts w:ascii="Century Gothic" w:hAnsi="Century Gothic"/>
          <w:sz w:val="20"/>
          <w:szCs w:val="20"/>
        </w:rPr>
        <w:lastRenderedPageBreak/>
        <w:t>Entre los datos del informe se conoció que el departamento donde ocurrieron más muertes violentas de mujeres fue en el Valle de Cauca con 95 casos, seguido de Antioquia con 88 feminicidios y la ciudad de Bogo</w:t>
      </w:r>
      <w:r w:rsidR="002C1CA8">
        <w:rPr>
          <w:rFonts w:ascii="Century Gothic" w:hAnsi="Century Gothic"/>
          <w:sz w:val="20"/>
          <w:szCs w:val="20"/>
        </w:rPr>
        <w:t>tá ocupó el tercer lugar con 82</w:t>
      </w:r>
    </w:p>
    <w:p w14:paraId="27D359A4" w14:textId="77777777" w:rsidR="002C1CA8" w:rsidRDefault="002C1CA8" w:rsidP="002C1CA8">
      <w:pPr>
        <w:spacing w:line="276" w:lineRule="auto"/>
        <w:ind w:left="426"/>
        <w:jc w:val="both"/>
        <w:rPr>
          <w:rFonts w:ascii="Century Gothic" w:hAnsi="Century Gothic"/>
          <w:sz w:val="20"/>
          <w:szCs w:val="20"/>
        </w:rPr>
      </w:pPr>
    </w:p>
    <w:p w14:paraId="18C46192" w14:textId="4F5A9AF4" w:rsidR="004F7052" w:rsidRPr="00E10543" w:rsidRDefault="004F7052" w:rsidP="002C1CA8">
      <w:pPr>
        <w:spacing w:line="276" w:lineRule="auto"/>
        <w:ind w:left="426"/>
        <w:jc w:val="both"/>
        <w:rPr>
          <w:rFonts w:ascii="Century Gothic" w:hAnsi="Century Gothic"/>
          <w:sz w:val="20"/>
          <w:szCs w:val="20"/>
        </w:rPr>
      </w:pPr>
      <w:r w:rsidRPr="00E10543">
        <w:rPr>
          <w:rFonts w:ascii="Century Gothic" w:hAnsi="Century Gothic"/>
          <w:sz w:val="20"/>
          <w:szCs w:val="20"/>
        </w:rPr>
        <w:t>A estos le siguen Atlántico (47), Cauca (39), Santander, Magdalena, y Bolívar, con 24 casos cada uno. Después Norte de Santander registró 23 feminicidios, Cesar (17), Córdoba y Tolima con 16 casos; Sucre (13), Arauca y Cundinamarca (12), Huila (10), Nariño y Quindío dejaron el saldo de 9; Casanare, Guajira, Risaralda y Putumayo 7; Meta con 6 feminicidios, Caquetá 5, Chocó 3, Boyacá 2 y Guaviare presentó un caso.</w:t>
      </w:r>
    </w:p>
    <w:p w14:paraId="40DFD556" w14:textId="77777777" w:rsidR="004F7052" w:rsidRPr="00E10543" w:rsidRDefault="004F7052" w:rsidP="00E10543">
      <w:pPr>
        <w:spacing w:line="276" w:lineRule="auto"/>
        <w:ind w:left="426"/>
        <w:jc w:val="both"/>
        <w:rPr>
          <w:rFonts w:ascii="Century Gothic" w:hAnsi="Century Gothic"/>
          <w:sz w:val="20"/>
          <w:szCs w:val="20"/>
        </w:rPr>
      </w:pPr>
    </w:p>
    <w:p w14:paraId="66082007" w14:textId="77777777" w:rsidR="004F7052" w:rsidRPr="00E10543" w:rsidRDefault="004F7052" w:rsidP="00E10543">
      <w:pPr>
        <w:numPr>
          <w:ilvl w:val="0"/>
          <w:numId w:val="28"/>
        </w:numPr>
        <w:spacing w:line="276" w:lineRule="auto"/>
        <w:ind w:left="426"/>
        <w:jc w:val="both"/>
        <w:rPr>
          <w:rFonts w:ascii="Century Gothic" w:hAnsi="Century Gothic"/>
          <w:b/>
          <w:sz w:val="20"/>
          <w:szCs w:val="20"/>
        </w:rPr>
      </w:pPr>
      <w:r w:rsidRPr="00E10543">
        <w:rPr>
          <w:rFonts w:ascii="Century Gothic" w:hAnsi="Century Gothic"/>
          <w:b/>
          <w:sz w:val="20"/>
          <w:szCs w:val="20"/>
        </w:rPr>
        <w:t>Procuraduría General de la Nación</w:t>
      </w:r>
    </w:p>
    <w:p w14:paraId="60C199F0" w14:textId="77777777" w:rsidR="004F7052" w:rsidRPr="00E10543" w:rsidRDefault="004F7052" w:rsidP="00E10543">
      <w:pPr>
        <w:spacing w:line="276" w:lineRule="auto"/>
        <w:ind w:left="426"/>
        <w:jc w:val="both"/>
        <w:rPr>
          <w:rFonts w:ascii="Century Gothic" w:hAnsi="Century Gothic"/>
          <w:sz w:val="20"/>
          <w:szCs w:val="20"/>
        </w:rPr>
      </w:pPr>
      <w:r w:rsidRPr="00E10543">
        <w:rPr>
          <w:rFonts w:ascii="Century Gothic" w:hAnsi="Century Gothic"/>
          <w:sz w:val="20"/>
          <w:szCs w:val="20"/>
        </w:rPr>
        <w:t>Entre enero y agosto de 2021 se reportaron 380 homicidios contra menores de edad, en el mismo período de 2022 se registraron 426 homicidios. De acuerdo con la Procuraduría General de la Nación, Bogotá, Barranquilla, Cali, Quibdó y Medellín son las cinco ciudades donde más casos de violencia contra niños se registran.</w:t>
      </w:r>
    </w:p>
    <w:p w14:paraId="7E3B6D84" w14:textId="0345EB6C" w:rsidR="004F7052" w:rsidRPr="00E10543" w:rsidRDefault="004F7052" w:rsidP="00E10543">
      <w:pPr>
        <w:spacing w:line="276" w:lineRule="auto"/>
        <w:ind w:left="426"/>
        <w:jc w:val="both"/>
        <w:rPr>
          <w:rFonts w:ascii="Century Gothic" w:hAnsi="Century Gothic"/>
          <w:sz w:val="20"/>
          <w:szCs w:val="20"/>
        </w:rPr>
      </w:pPr>
    </w:p>
    <w:p w14:paraId="48E55F48" w14:textId="7F380BA4" w:rsidR="004F7052" w:rsidRPr="00E10543" w:rsidRDefault="004F7052" w:rsidP="002C1CA8">
      <w:pPr>
        <w:spacing w:line="276" w:lineRule="auto"/>
        <w:jc w:val="both"/>
        <w:rPr>
          <w:rFonts w:ascii="Century Gothic" w:hAnsi="Century Gothic"/>
          <w:b/>
          <w:sz w:val="20"/>
          <w:szCs w:val="20"/>
        </w:rPr>
      </w:pPr>
      <w:r w:rsidRPr="00E10543">
        <w:rPr>
          <w:rFonts w:ascii="Century Gothic" w:hAnsi="Century Gothic"/>
          <w:b/>
          <w:sz w:val="20"/>
          <w:szCs w:val="20"/>
        </w:rPr>
        <w:t xml:space="preserve">DERECHO </w:t>
      </w:r>
      <w:r w:rsidR="00E10543" w:rsidRPr="00E10543">
        <w:rPr>
          <w:rFonts w:ascii="Century Gothic" w:hAnsi="Century Gothic"/>
          <w:b/>
          <w:sz w:val="20"/>
          <w:szCs w:val="20"/>
        </w:rPr>
        <w:t>COMPARADO</w:t>
      </w:r>
    </w:p>
    <w:p w14:paraId="2423934F" w14:textId="77777777" w:rsidR="00E10543" w:rsidRPr="00E10543" w:rsidRDefault="00E10543" w:rsidP="00E10543">
      <w:pPr>
        <w:spacing w:line="276" w:lineRule="auto"/>
        <w:ind w:left="426"/>
        <w:jc w:val="both"/>
        <w:rPr>
          <w:rFonts w:ascii="Century Gothic" w:hAnsi="Century Gothic"/>
          <w:b/>
          <w:sz w:val="20"/>
          <w:szCs w:val="20"/>
        </w:rPr>
      </w:pPr>
    </w:p>
    <w:p w14:paraId="22853097" w14:textId="77777777" w:rsidR="004F7052" w:rsidRPr="00E10543" w:rsidRDefault="004F7052" w:rsidP="00E10543">
      <w:pPr>
        <w:spacing w:line="276" w:lineRule="auto"/>
        <w:ind w:left="426"/>
        <w:jc w:val="both"/>
        <w:rPr>
          <w:rFonts w:ascii="Century Gothic" w:hAnsi="Century Gothic"/>
          <w:sz w:val="20"/>
          <w:szCs w:val="20"/>
        </w:rPr>
      </w:pPr>
      <w:r w:rsidRPr="00E10543">
        <w:rPr>
          <w:rFonts w:ascii="Century Gothic" w:hAnsi="Century Gothic"/>
          <w:sz w:val="20"/>
          <w:szCs w:val="20"/>
        </w:rPr>
        <w:t>La violencia vicaria es un tema relativamente nuevo en la agenda de la política pública y la legislación en muchos países. La legislación sobre violencia vicaria varía según el país, pero cada vez más naciones están reconociendo esta forma de violencia y adoptando medidas legales para prevenirla y sancionarla.</w:t>
      </w:r>
    </w:p>
    <w:p w14:paraId="6AA5C5C1" w14:textId="77777777" w:rsidR="004F7052" w:rsidRPr="00E10543" w:rsidRDefault="004F7052" w:rsidP="00E10543">
      <w:pPr>
        <w:spacing w:line="276" w:lineRule="auto"/>
        <w:ind w:left="426"/>
        <w:jc w:val="both"/>
        <w:rPr>
          <w:rFonts w:ascii="Century Gothic" w:hAnsi="Century Gothic"/>
          <w:sz w:val="20"/>
          <w:szCs w:val="20"/>
        </w:rPr>
      </w:pPr>
    </w:p>
    <w:p w14:paraId="74A06017" w14:textId="77777777" w:rsidR="004F7052" w:rsidRPr="00E10543" w:rsidRDefault="004F7052" w:rsidP="00E10543">
      <w:pPr>
        <w:spacing w:line="276" w:lineRule="auto"/>
        <w:ind w:left="426"/>
        <w:jc w:val="both"/>
        <w:rPr>
          <w:rFonts w:ascii="Century Gothic" w:hAnsi="Century Gothic"/>
          <w:sz w:val="20"/>
          <w:szCs w:val="20"/>
        </w:rPr>
      </w:pPr>
      <w:r w:rsidRPr="00E10543">
        <w:rPr>
          <w:rFonts w:ascii="Century Gothic" w:hAnsi="Century Gothic"/>
          <w:sz w:val="20"/>
          <w:szCs w:val="20"/>
        </w:rPr>
        <w:t>Algunos ejemplos de países con legislación sobre violencia vicaria incluyen:</w:t>
      </w:r>
    </w:p>
    <w:p w14:paraId="47935089" w14:textId="77777777" w:rsidR="004F7052" w:rsidRPr="00E10543" w:rsidRDefault="004F7052" w:rsidP="00E10543">
      <w:pPr>
        <w:spacing w:line="276" w:lineRule="auto"/>
        <w:ind w:left="426"/>
        <w:jc w:val="both"/>
        <w:rPr>
          <w:rFonts w:ascii="Century Gothic" w:hAnsi="Century Gothic"/>
          <w:sz w:val="20"/>
          <w:szCs w:val="20"/>
        </w:rPr>
      </w:pPr>
    </w:p>
    <w:p w14:paraId="79856D1C" w14:textId="77777777" w:rsidR="004F7052" w:rsidRPr="00E10543" w:rsidRDefault="004F7052" w:rsidP="00E10543">
      <w:pPr>
        <w:pStyle w:val="Prrafodelista"/>
        <w:numPr>
          <w:ilvl w:val="0"/>
          <w:numId w:val="40"/>
        </w:numPr>
        <w:spacing w:line="276" w:lineRule="auto"/>
        <w:ind w:left="426"/>
        <w:jc w:val="both"/>
        <w:rPr>
          <w:rFonts w:ascii="Century Gothic" w:hAnsi="Century Gothic"/>
          <w:sz w:val="20"/>
          <w:szCs w:val="20"/>
        </w:rPr>
      </w:pPr>
      <w:r w:rsidRPr="00E10543">
        <w:rPr>
          <w:rFonts w:ascii="Century Gothic" w:hAnsi="Century Gothic"/>
          <w:b/>
          <w:sz w:val="20"/>
          <w:szCs w:val="20"/>
        </w:rPr>
        <w:t>España:</w:t>
      </w:r>
      <w:r w:rsidRPr="00E10543">
        <w:rPr>
          <w:rFonts w:ascii="Century Gothic" w:hAnsi="Century Gothic"/>
          <w:sz w:val="20"/>
          <w:szCs w:val="20"/>
        </w:rPr>
        <w:t xml:space="preserve"> La Ley Orgánica 1/2004 de Medidas de Protección Integral contra la Violencia de Género reconoce expresamente la violencia vicaria como una forma de violencia de género y establece medidas específicas para proteger a los menores que son víctimas indirectas de la violencia. Además, la ley también prevé la obligación de los profesionales de la salud, educación y servicios sociales a denunciar cualquier indicio de violencia de género o violencia vicaria.</w:t>
      </w:r>
    </w:p>
    <w:p w14:paraId="0EB7C71B" w14:textId="77777777" w:rsidR="004F7052" w:rsidRPr="00E10543" w:rsidRDefault="004F7052" w:rsidP="00E10543">
      <w:pPr>
        <w:spacing w:line="276" w:lineRule="auto"/>
        <w:ind w:left="426"/>
        <w:jc w:val="both"/>
        <w:rPr>
          <w:rFonts w:ascii="Century Gothic" w:hAnsi="Century Gothic"/>
          <w:sz w:val="20"/>
          <w:szCs w:val="20"/>
        </w:rPr>
      </w:pPr>
    </w:p>
    <w:p w14:paraId="3B5E1B12" w14:textId="43ACD7EC" w:rsidR="004F7052" w:rsidRPr="00E10543" w:rsidRDefault="004F7052" w:rsidP="00E10543">
      <w:pPr>
        <w:pStyle w:val="Prrafodelista"/>
        <w:numPr>
          <w:ilvl w:val="0"/>
          <w:numId w:val="40"/>
        </w:numPr>
        <w:spacing w:line="276" w:lineRule="auto"/>
        <w:ind w:left="426"/>
        <w:jc w:val="both"/>
        <w:rPr>
          <w:rFonts w:ascii="Century Gothic" w:hAnsi="Century Gothic"/>
          <w:sz w:val="20"/>
          <w:szCs w:val="20"/>
        </w:rPr>
      </w:pPr>
      <w:r w:rsidRPr="00E10543">
        <w:rPr>
          <w:rFonts w:ascii="Century Gothic" w:hAnsi="Century Gothic"/>
          <w:sz w:val="20"/>
          <w:szCs w:val="20"/>
        </w:rPr>
        <w:t xml:space="preserve">En Galicia la Ley 14/2021, de 20 de julio, por medio de la cual se modifica la Ley 11/2007, de 27 de julio, gallega para la prevención y el tratamiento integral de la violencia de género, establece la violencia vicaria como aquella violencia que se ejerce sobre la mujer con el fin de causarle el mayor y más grave daño psicológico a través de terceras o </w:t>
      </w:r>
      <w:r w:rsidR="00901FF1">
        <w:rPr>
          <w:rFonts w:ascii="Century Gothic" w:hAnsi="Century Gothic"/>
          <w:sz w:val="20"/>
          <w:szCs w:val="20"/>
        </w:rPr>
        <w:t>interpuesta</w:t>
      </w:r>
      <w:r w:rsidRPr="00E10543">
        <w:rPr>
          <w:rFonts w:ascii="Century Gothic" w:hAnsi="Century Gothic"/>
          <w:sz w:val="20"/>
          <w:szCs w:val="20"/>
        </w:rPr>
        <w:t xml:space="preserve">s personas y que consigue su grado más elevado de crueldad con el homicidio o asesinato de esas personas. </w:t>
      </w:r>
    </w:p>
    <w:p w14:paraId="24414739" w14:textId="77777777" w:rsidR="004F7052" w:rsidRPr="00E10543" w:rsidRDefault="004F7052" w:rsidP="00E10543">
      <w:pPr>
        <w:spacing w:line="276" w:lineRule="auto"/>
        <w:ind w:left="426"/>
        <w:jc w:val="both"/>
        <w:rPr>
          <w:rFonts w:ascii="Century Gothic" w:hAnsi="Century Gothic"/>
          <w:sz w:val="20"/>
          <w:szCs w:val="20"/>
        </w:rPr>
      </w:pPr>
    </w:p>
    <w:p w14:paraId="77562CB2" w14:textId="77777777" w:rsidR="004F7052" w:rsidRPr="00E10543" w:rsidRDefault="004F7052" w:rsidP="00E10543">
      <w:pPr>
        <w:pStyle w:val="Prrafodelista"/>
        <w:numPr>
          <w:ilvl w:val="0"/>
          <w:numId w:val="40"/>
        </w:numPr>
        <w:spacing w:line="276" w:lineRule="auto"/>
        <w:ind w:left="426"/>
        <w:jc w:val="both"/>
        <w:rPr>
          <w:rFonts w:ascii="Century Gothic" w:hAnsi="Century Gothic"/>
          <w:sz w:val="20"/>
          <w:szCs w:val="20"/>
        </w:rPr>
      </w:pPr>
      <w:r w:rsidRPr="00E10543">
        <w:rPr>
          <w:rFonts w:ascii="Century Gothic" w:hAnsi="Century Gothic"/>
          <w:b/>
          <w:sz w:val="20"/>
          <w:szCs w:val="20"/>
        </w:rPr>
        <w:t>México:</w:t>
      </w:r>
      <w:r w:rsidRPr="00E10543">
        <w:rPr>
          <w:rFonts w:ascii="Century Gothic" w:hAnsi="Century Gothic"/>
          <w:sz w:val="20"/>
          <w:szCs w:val="20"/>
        </w:rPr>
        <w:t xml:space="preserve"> La Ley General de Acceso de las Mujeres a una Vida Libre de Violencia, en su artículo 6, reconoce la violencia vicaria como una forma de violencia contra las mujeres.</w:t>
      </w:r>
    </w:p>
    <w:p w14:paraId="3FFDA472" w14:textId="77777777" w:rsidR="004F7052" w:rsidRPr="00E10543" w:rsidRDefault="004F7052" w:rsidP="00E10543">
      <w:pPr>
        <w:spacing w:line="276" w:lineRule="auto"/>
        <w:ind w:left="426"/>
        <w:jc w:val="both"/>
        <w:rPr>
          <w:rFonts w:ascii="Century Gothic" w:hAnsi="Century Gothic"/>
          <w:sz w:val="20"/>
          <w:szCs w:val="20"/>
        </w:rPr>
      </w:pPr>
    </w:p>
    <w:p w14:paraId="009A85F4" w14:textId="77777777" w:rsidR="004F7052" w:rsidRPr="00E10543" w:rsidRDefault="004F7052" w:rsidP="00E10543">
      <w:pPr>
        <w:pStyle w:val="Prrafodelista"/>
        <w:numPr>
          <w:ilvl w:val="0"/>
          <w:numId w:val="40"/>
        </w:numPr>
        <w:spacing w:line="276" w:lineRule="auto"/>
        <w:ind w:left="426"/>
        <w:jc w:val="both"/>
        <w:rPr>
          <w:rFonts w:ascii="Century Gothic" w:hAnsi="Century Gothic"/>
          <w:sz w:val="20"/>
          <w:szCs w:val="20"/>
        </w:rPr>
      </w:pPr>
      <w:r w:rsidRPr="00E10543">
        <w:rPr>
          <w:rFonts w:ascii="Century Gothic" w:hAnsi="Century Gothic"/>
          <w:b/>
          <w:sz w:val="20"/>
          <w:szCs w:val="20"/>
        </w:rPr>
        <w:t>Uruguay:</w:t>
      </w:r>
      <w:r w:rsidRPr="00E10543">
        <w:rPr>
          <w:rFonts w:ascii="Century Gothic" w:hAnsi="Century Gothic"/>
          <w:sz w:val="20"/>
          <w:szCs w:val="20"/>
        </w:rPr>
        <w:t xml:space="preserve"> La Ley 19.580 de Protección Integral a las Mujeres contra la Violencia de Género establece medidas específicas para proteger a los menores que son víctimas indirectas de la violencia de género.</w:t>
      </w:r>
    </w:p>
    <w:p w14:paraId="4311A1A1" w14:textId="77777777" w:rsidR="004F7052" w:rsidRPr="00E10543" w:rsidRDefault="004F7052" w:rsidP="00E10543">
      <w:pPr>
        <w:spacing w:line="276" w:lineRule="auto"/>
        <w:ind w:left="426"/>
        <w:jc w:val="both"/>
        <w:rPr>
          <w:rFonts w:ascii="Century Gothic" w:hAnsi="Century Gothic"/>
          <w:sz w:val="20"/>
          <w:szCs w:val="20"/>
        </w:rPr>
      </w:pPr>
    </w:p>
    <w:p w14:paraId="16727BFA" w14:textId="77777777" w:rsidR="004F7052" w:rsidRPr="00E10543" w:rsidRDefault="004F7052" w:rsidP="00E10543">
      <w:pPr>
        <w:pStyle w:val="Prrafodelista"/>
        <w:numPr>
          <w:ilvl w:val="0"/>
          <w:numId w:val="40"/>
        </w:numPr>
        <w:spacing w:line="276" w:lineRule="auto"/>
        <w:ind w:left="426"/>
        <w:jc w:val="both"/>
        <w:rPr>
          <w:rFonts w:ascii="Century Gothic" w:hAnsi="Century Gothic"/>
          <w:sz w:val="20"/>
          <w:szCs w:val="20"/>
        </w:rPr>
      </w:pPr>
      <w:r w:rsidRPr="00E10543">
        <w:rPr>
          <w:rFonts w:ascii="Century Gothic" w:hAnsi="Century Gothic"/>
          <w:b/>
          <w:sz w:val="20"/>
          <w:szCs w:val="20"/>
        </w:rPr>
        <w:t>Argentina:</w:t>
      </w:r>
      <w:r w:rsidRPr="00E10543">
        <w:rPr>
          <w:rFonts w:ascii="Century Gothic" w:hAnsi="Century Gothic"/>
          <w:sz w:val="20"/>
          <w:szCs w:val="20"/>
        </w:rPr>
        <w:t xml:space="preserve"> La Ley 26.485 de Protección Integral para Prevenir, Sancionar y Erradicar la Violencia contra las Mujeres reconoce la violencia vicaria como una forma de violencia contra las mujeres y establece medidas específicas para proteger a los menores que son víctimas indirectas de la violencia.</w:t>
      </w:r>
    </w:p>
    <w:p w14:paraId="410AE6A2" w14:textId="77777777" w:rsidR="004F7052" w:rsidRPr="00E10543" w:rsidRDefault="004F7052" w:rsidP="00E10543">
      <w:pPr>
        <w:spacing w:line="276" w:lineRule="auto"/>
        <w:ind w:left="426"/>
        <w:jc w:val="both"/>
        <w:rPr>
          <w:rFonts w:ascii="Century Gothic" w:hAnsi="Century Gothic"/>
          <w:sz w:val="20"/>
          <w:szCs w:val="20"/>
        </w:rPr>
      </w:pPr>
    </w:p>
    <w:p w14:paraId="21972067" w14:textId="77777777" w:rsidR="00E10543" w:rsidRPr="00E10543" w:rsidRDefault="004F7052" w:rsidP="00E10543">
      <w:pPr>
        <w:pStyle w:val="Prrafodelista"/>
        <w:numPr>
          <w:ilvl w:val="0"/>
          <w:numId w:val="40"/>
        </w:numPr>
        <w:spacing w:line="276" w:lineRule="auto"/>
        <w:ind w:left="426"/>
        <w:jc w:val="both"/>
        <w:rPr>
          <w:rFonts w:ascii="Century Gothic" w:hAnsi="Century Gothic"/>
          <w:sz w:val="20"/>
          <w:szCs w:val="20"/>
        </w:rPr>
      </w:pPr>
      <w:r w:rsidRPr="00E10543">
        <w:rPr>
          <w:rFonts w:ascii="Century Gothic" w:hAnsi="Century Gothic"/>
          <w:b/>
          <w:sz w:val="20"/>
          <w:szCs w:val="20"/>
        </w:rPr>
        <w:t>Australia</w:t>
      </w:r>
      <w:r w:rsidRPr="00E10543">
        <w:rPr>
          <w:rFonts w:ascii="Century Gothic" w:hAnsi="Century Gothic"/>
          <w:sz w:val="20"/>
          <w:szCs w:val="20"/>
        </w:rPr>
        <w:t xml:space="preserve">: La Ley de Prevención de la Violencia Familiar (2018) también incluye la violencia vicaria como una forma de violencia familiar y establece medidas de protección específicas para los niños y niñas afectados. La ley también permite la </w:t>
      </w:r>
      <w:r w:rsidRPr="00E10543">
        <w:rPr>
          <w:rFonts w:ascii="Century Gothic" w:hAnsi="Century Gothic"/>
          <w:sz w:val="20"/>
          <w:szCs w:val="20"/>
        </w:rPr>
        <w:lastRenderedPageBreak/>
        <w:t>emisión de órdenes de protección específicas para los niños y niñas y establece la obligación de los servicios públicos a denunciar cualquier sospecha de violencia familiar.</w:t>
      </w:r>
      <w:r w:rsidR="00E10543" w:rsidRPr="00E10543">
        <w:rPr>
          <w:rFonts w:ascii="Century Gothic" w:hAnsi="Century Gothic"/>
          <w:sz w:val="20"/>
          <w:szCs w:val="20"/>
        </w:rPr>
        <w:t xml:space="preserve"> </w:t>
      </w:r>
    </w:p>
    <w:p w14:paraId="64997339" w14:textId="77777777" w:rsidR="00E10543" w:rsidRPr="00E10543" w:rsidRDefault="00E10543" w:rsidP="00E10543">
      <w:pPr>
        <w:pStyle w:val="Prrafodelista"/>
        <w:spacing w:line="276" w:lineRule="auto"/>
        <w:ind w:left="426"/>
        <w:rPr>
          <w:rFonts w:ascii="Century Gothic" w:hAnsi="Century Gothic"/>
          <w:sz w:val="20"/>
          <w:szCs w:val="20"/>
        </w:rPr>
      </w:pPr>
    </w:p>
    <w:p w14:paraId="09DA9E2E" w14:textId="0E385164" w:rsidR="004F7052" w:rsidRPr="00E10543" w:rsidRDefault="004F7052" w:rsidP="00E10543">
      <w:pPr>
        <w:pStyle w:val="Prrafodelista"/>
        <w:numPr>
          <w:ilvl w:val="0"/>
          <w:numId w:val="40"/>
        </w:numPr>
        <w:spacing w:line="276" w:lineRule="auto"/>
        <w:ind w:left="426"/>
        <w:jc w:val="both"/>
        <w:rPr>
          <w:rFonts w:ascii="Century Gothic" w:hAnsi="Century Gothic"/>
          <w:sz w:val="20"/>
          <w:szCs w:val="20"/>
        </w:rPr>
      </w:pPr>
      <w:r w:rsidRPr="00E10543">
        <w:rPr>
          <w:rFonts w:ascii="Century Gothic" w:hAnsi="Century Gothic"/>
          <w:sz w:val="20"/>
          <w:szCs w:val="20"/>
        </w:rPr>
        <w:t>En otros países, como</w:t>
      </w:r>
      <w:r w:rsidRPr="00E10543">
        <w:rPr>
          <w:rFonts w:ascii="Century Gothic" w:hAnsi="Century Gothic"/>
          <w:b/>
          <w:sz w:val="20"/>
          <w:szCs w:val="20"/>
        </w:rPr>
        <w:t xml:space="preserve"> Estados Unidos y Reino Unido</w:t>
      </w:r>
      <w:r w:rsidRPr="00E10543">
        <w:rPr>
          <w:rFonts w:ascii="Century Gothic" w:hAnsi="Century Gothic"/>
          <w:sz w:val="20"/>
          <w:szCs w:val="20"/>
        </w:rPr>
        <w:t xml:space="preserve">, no existe una legislación específica sobre la violencia vicaria, pero se aplican leyes y políticas más generales para abordar la violencia de género y la violencia familiar. </w:t>
      </w:r>
    </w:p>
    <w:p w14:paraId="22F3096E" w14:textId="77777777" w:rsidR="004F7052" w:rsidRPr="00E10543" w:rsidRDefault="004F7052" w:rsidP="00E10543">
      <w:pPr>
        <w:spacing w:line="276" w:lineRule="auto"/>
        <w:ind w:left="426"/>
        <w:jc w:val="both"/>
        <w:rPr>
          <w:rFonts w:ascii="Century Gothic" w:hAnsi="Century Gothic"/>
          <w:sz w:val="20"/>
          <w:szCs w:val="20"/>
        </w:rPr>
      </w:pPr>
    </w:p>
    <w:p w14:paraId="60BD75B5" w14:textId="06A56DE0" w:rsidR="004F7052" w:rsidRPr="00E10543" w:rsidRDefault="004F7052" w:rsidP="00E10543">
      <w:pPr>
        <w:spacing w:line="276" w:lineRule="auto"/>
        <w:ind w:left="426"/>
        <w:jc w:val="both"/>
        <w:rPr>
          <w:rFonts w:ascii="Century Gothic" w:hAnsi="Century Gothic"/>
          <w:sz w:val="20"/>
          <w:szCs w:val="20"/>
        </w:rPr>
      </w:pPr>
      <w:r w:rsidRPr="00E10543">
        <w:rPr>
          <w:rFonts w:ascii="Century Gothic" w:hAnsi="Century Gothic"/>
          <w:sz w:val="20"/>
          <w:szCs w:val="20"/>
        </w:rPr>
        <w:t xml:space="preserve">Es importante destacar </w:t>
      </w:r>
      <w:r w:rsidR="00E10543" w:rsidRPr="00E10543">
        <w:rPr>
          <w:rFonts w:ascii="Century Gothic" w:hAnsi="Century Gothic"/>
          <w:sz w:val="20"/>
          <w:szCs w:val="20"/>
        </w:rPr>
        <w:t>que,</w:t>
      </w:r>
      <w:r w:rsidRPr="00E10543">
        <w:rPr>
          <w:rFonts w:ascii="Century Gothic" w:hAnsi="Century Gothic"/>
          <w:sz w:val="20"/>
          <w:szCs w:val="20"/>
        </w:rPr>
        <w:t xml:space="preserve"> aunque no todos los países tienen leyes específicas que aborden la violencia vicaria, la violencia contra los niños, niñas y mujeres sigue siendo penalizada y las víctimas tienen derecho a protección y apoyo. Los países también pueden tener leyes y políticas más generales que aborden la violencia y el abuso en todas sus formas. Sin embargo, es importante que todos los países reconozcan y aborden la violencia vicaria como una forma grave de violencia que requiere medidas de protección y prevención efectivas.</w:t>
      </w:r>
    </w:p>
    <w:p w14:paraId="5F599C29" w14:textId="77777777" w:rsidR="004F7052" w:rsidRPr="00E10543" w:rsidRDefault="004F7052" w:rsidP="00E10543">
      <w:pPr>
        <w:spacing w:line="276" w:lineRule="auto"/>
        <w:ind w:left="426"/>
        <w:jc w:val="both"/>
        <w:rPr>
          <w:rFonts w:ascii="Century Gothic" w:hAnsi="Century Gothic"/>
          <w:sz w:val="20"/>
          <w:szCs w:val="20"/>
        </w:rPr>
      </w:pPr>
    </w:p>
    <w:p w14:paraId="6B0F2988" w14:textId="77777777" w:rsidR="00EA6409" w:rsidRDefault="00E10543" w:rsidP="00EA6409">
      <w:pPr>
        <w:spacing w:line="276" w:lineRule="auto"/>
        <w:ind w:left="426"/>
        <w:jc w:val="both"/>
        <w:rPr>
          <w:rFonts w:ascii="Century Gothic" w:hAnsi="Century Gothic"/>
          <w:b/>
          <w:sz w:val="20"/>
          <w:szCs w:val="20"/>
        </w:rPr>
      </w:pPr>
      <w:r w:rsidRPr="00E10543">
        <w:rPr>
          <w:rFonts w:ascii="Century Gothic" w:hAnsi="Century Gothic"/>
          <w:b/>
          <w:sz w:val="20"/>
          <w:szCs w:val="20"/>
        </w:rPr>
        <w:t xml:space="preserve">MODIFICACIÓN DE LA LEY 1257 DE 2008 “POR LA CUAL SE DICTAN NORMAS DE SENSIBILIZACIÓN, PREVENCIÓN Y SANCIÓN DE FORMAS DE VIOLENCIA Y DISCRIMINACIÓN CONTRA LAS MUJERES, SE REFORMAN LOS CÓDIGOS PENAL, DE PROCEDIMIENTO PENAL, LA LEY </w:t>
      </w:r>
      <w:hyperlink r:id="rId19" w:anchor="1">
        <w:r w:rsidRPr="00E10543">
          <w:rPr>
            <w:rFonts w:ascii="Century Gothic" w:hAnsi="Century Gothic"/>
            <w:b/>
            <w:sz w:val="20"/>
            <w:szCs w:val="20"/>
          </w:rPr>
          <w:t>294</w:t>
        </w:r>
      </w:hyperlink>
      <w:r w:rsidRPr="00E10543">
        <w:rPr>
          <w:rFonts w:ascii="Century Gothic" w:hAnsi="Century Gothic"/>
          <w:b/>
          <w:sz w:val="20"/>
          <w:szCs w:val="20"/>
        </w:rPr>
        <w:t xml:space="preserve"> DE 1996 Y SE DICTAN OTRAS DISPOSICIONES.”</w:t>
      </w:r>
    </w:p>
    <w:p w14:paraId="7B7AE32E" w14:textId="77777777" w:rsidR="00EA6409" w:rsidRDefault="00EA6409" w:rsidP="00EA6409">
      <w:pPr>
        <w:spacing w:line="276" w:lineRule="auto"/>
        <w:ind w:left="426"/>
        <w:jc w:val="both"/>
        <w:rPr>
          <w:rFonts w:ascii="Century Gothic" w:hAnsi="Century Gothic"/>
          <w:b/>
          <w:sz w:val="20"/>
          <w:szCs w:val="20"/>
        </w:rPr>
      </w:pPr>
    </w:p>
    <w:p w14:paraId="0B87BB69" w14:textId="628DF849" w:rsidR="004F7052" w:rsidRPr="00EA6409" w:rsidRDefault="004F7052" w:rsidP="00EA6409">
      <w:pPr>
        <w:spacing w:line="276" w:lineRule="auto"/>
        <w:ind w:left="426"/>
        <w:jc w:val="both"/>
        <w:rPr>
          <w:rFonts w:ascii="Century Gothic" w:hAnsi="Century Gothic"/>
          <w:b/>
          <w:sz w:val="20"/>
          <w:szCs w:val="20"/>
        </w:rPr>
      </w:pPr>
      <w:r w:rsidRPr="00E10543">
        <w:rPr>
          <w:rFonts w:ascii="Century Gothic" w:hAnsi="Century Gothic"/>
          <w:sz w:val="20"/>
          <w:szCs w:val="20"/>
        </w:rPr>
        <w:t>La Ley 1257 cambió el tratamiento legal a las violencias contra las mujeres, al menos en tres aspectos:</w:t>
      </w:r>
      <w:r w:rsidR="00E10543" w:rsidRPr="00E10543">
        <w:rPr>
          <w:rFonts w:ascii="Century Gothic" w:hAnsi="Century Gothic"/>
          <w:sz w:val="20"/>
          <w:szCs w:val="20"/>
        </w:rPr>
        <w:t xml:space="preserve"> </w:t>
      </w:r>
      <w:r w:rsidR="002C1CA8">
        <w:rPr>
          <w:rFonts w:ascii="Century Gothic" w:hAnsi="Century Gothic"/>
          <w:sz w:val="20"/>
          <w:szCs w:val="20"/>
        </w:rPr>
        <w:tab/>
      </w:r>
      <w:r w:rsidR="00E10543" w:rsidRPr="00E10543">
        <w:rPr>
          <w:rFonts w:ascii="Century Gothic" w:hAnsi="Century Gothic"/>
          <w:sz w:val="20"/>
          <w:szCs w:val="20"/>
        </w:rPr>
        <w:br/>
      </w:r>
      <w:r w:rsidRPr="00E10543">
        <w:rPr>
          <w:rFonts w:ascii="Century Gothic" w:hAnsi="Century Gothic"/>
          <w:sz w:val="20"/>
          <w:szCs w:val="20"/>
        </w:rPr>
        <w:t>(I) Por primera vez se introduce en la legislación la noción de violencia contra las mujeres</w:t>
      </w:r>
      <w:r w:rsidR="002C1CA8">
        <w:rPr>
          <w:rFonts w:ascii="Century Gothic" w:hAnsi="Century Gothic"/>
          <w:sz w:val="20"/>
          <w:szCs w:val="20"/>
        </w:rPr>
        <w:t>,</w:t>
      </w:r>
      <w:r w:rsidRPr="00E10543">
        <w:rPr>
          <w:rFonts w:ascii="Century Gothic" w:hAnsi="Century Gothic"/>
          <w:sz w:val="20"/>
          <w:szCs w:val="20"/>
        </w:rPr>
        <w:t xml:space="preserve"> </w:t>
      </w:r>
      <w:r w:rsidR="002C1CA8">
        <w:rPr>
          <w:rFonts w:ascii="Century Gothic" w:hAnsi="Century Gothic"/>
          <w:sz w:val="20"/>
          <w:szCs w:val="20"/>
        </w:rPr>
        <w:tab/>
      </w:r>
      <w:r w:rsidR="002C1CA8">
        <w:rPr>
          <w:rFonts w:ascii="Century Gothic" w:hAnsi="Century Gothic"/>
          <w:sz w:val="20"/>
          <w:szCs w:val="20"/>
        </w:rPr>
        <w:br/>
      </w:r>
      <w:r w:rsidRPr="00E10543">
        <w:rPr>
          <w:rFonts w:ascii="Century Gothic" w:hAnsi="Century Gothic"/>
          <w:sz w:val="20"/>
          <w:szCs w:val="20"/>
        </w:rPr>
        <w:t>(II) Considera la violencia contra la mujer como una v</w:t>
      </w:r>
      <w:r w:rsidR="002C1CA8">
        <w:rPr>
          <w:rFonts w:ascii="Century Gothic" w:hAnsi="Century Gothic"/>
          <w:sz w:val="20"/>
          <w:szCs w:val="20"/>
        </w:rPr>
        <w:t>iolación a sus derechos humanos.</w:t>
      </w:r>
      <w:r w:rsidR="00E10543" w:rsidRPr="00E10543">
        <w:rPr>
          <w:rFonts w:ascii="Century Gothic" w:hAnsi="Century Gothic"/>
          <w:sz w:val="20"/>
          <w:szCs w:val="20"/>
        </w:rPr>
        <w:br/>
      </w:r>
      <w:r w:rsidRPr="00E10543">
        <w:rPr>
          <w:rFonts w:ascii="Century Gothic" w:hAnsi="Century Gothic"/>
          <w:sz w:val="20"/>
          <w:szCs w:val="20"/>
        </w:rPr>
        <w:t>(III) Reconoce la autonomía y la libertad de las mujeres para tomar sus decisiones.</w:t>
      </w:r>
      <w:r w:rsidRPr="00E10543">
        <w:rPr>
          <w:rFonts w:ascii="Century Gothic" w:hAnsi="Century Gothic"/>
          <w:sz w:val="20"/>
          <w:szCs w:val="20"/>
          <w:vertAlign w:val="superscript"/>
        </w:rPr>
        <w:footnoteReference w:id="21"/>
      </w:r>
    </w:p>
    <w:p w14:paraId="712D7219" w14:textId="77777777" w:rsidR="004F7052" w:rsidRPr="00E10543" w:rsidRDefault="004F7052" w:rsidP="00E10543">
      <w:pPr>
        <w:spacing w:line="276" w:lineRule="auto"/>
        <w:ind w:left="426"/>
        <w:jc w:val="both"/>
        <w:rPr>
          <w:rFonts w:ascii="Century Gothic" w:hAnsi="Century Gothic"/>
          <w:sz w:val="20"/>
          <w:szCs w:val="20"/>
        </w:rPr>
      </w:pPr>
    </w:p>
    <w:p w14:paraId="777F29CE" w14:textId="77777777" w:rsidR="004F7052" w:rsidRPr="002C1CA8" w:rsidRDefault="004F7052" w:rsidP="00E10543">
      <w:pPr>
        <w:widowControl w:val="0"/>
        <w:spacing w:line="276" w:lineRule="auto"/>
        <w:ind w:left="426"/>
        <w:jc w:val="both"/>
        <w:rPr>
          <w:rFonts w:ascii="Century Gothic" w:hAnsi="Century Gothic"/>
          <w:b/>
          <w:sz w:val="20"/>
          <w:szCs w:val="20"/>
        </w:rPr>
      </w:pPr>
      <w:r w:rsidRPr="002C1CA8">
        <w:rPr>
          <w:rFonts w:ascii="Century Gothic" w:hAnsi="Century Gothic"/>
          <w:b/>
          <w:sz w:val="20"/>
          <w:szCs w:val="20"/>
        </w:rPr>
        <w:t xml:space="preserve">La ley contiene 39 artículos y VIII capítulos:  </w:t>
      </w:r>
    </w:p>
    <w:p w14:paraId="6473C66F" w14:textId="77777777" w:rsidR="004F7052" w:rsidRPr="00E10543" w:rsidRDefault="004F7052" w:rsidP="00E10543">
      <w:pPr>
        <w:widowControl w:val="0"/>
        <w:spacing w:line="276" w:lineRule="auto"/>
        <w:ind w:left="426"/>
        <w:jc w:val="both"/>
        <w:rPr>
          <w:rFonts w:ascii="Century Gothic" w:hAnsi="Century Gothic"/>
          <w:sz w:val="20"/>
          <w:szCs w:val="20"/>
        </w:rPr>
      </w:pPr>
    </w:p>
    <w:p w14:paraId="4890813E"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Capítulo I. disposiciones generales </w:t>
      </w:r>
    </w:p>
    <w:p w14:paraId="6ABAF718"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1o. objeto de la ley. </w:t>
      </w:r>
    </w:p>
    <w:p w14:paraId="21A6502D"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2o. Definición de violencia contra la mujer. </w:t>
      </w:r>
    </w:p>
    <w:p w14:paraId="045E9CE0"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Artículo 3o. concepto de daño contra la mujer.</w:t>
      </w:r>
    </w:p>
    <w:p w14:paraId="3CB4FEA3"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4. criterios de interpretación. </w:t>
      </w:r>
    </w:p>
    <w:p w14:paraId="06999513"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5o. garantías mínimas. </w:t>
      </w:r>
    </w:p>
    <w:p w14:paraId="4CF8B5EB"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 </w:t>
      </w:r>
    </w:p>
    <w:p w14:paraId="7C67E52A"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Capítulo II. principios</w:t>
      </w:r>
    </w:p>
    <w:p w14:paraId="38CF7292"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5o. garantías mínimas. </w:t>
      </w:r>
    </w:p>
    <w:p w14:paraId="096B1DB0"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 </w:t>
      </w:r>
    </w:p>
    <w:p w14:paraId="6D5EA9D3"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Capítulo III. derechos </w:t>
      </w:r>
    </w:p>
    <w:p w14:paraId="63A5E907"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5o. garantías mínimas. </w:t>
      </w:r>
    </w:p>
    <w:p w14:paraId="6EE9A89A"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8o. Derechos de las víctimas de violencia. </w:t>
      </w:r>
    </w:p>
    <w:p w14:paraId="14F60DD7"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 </w:t>
      </w:r>
    </w:p>
    <w:p w14:paraId="3E7DA82E"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Capítulo IV. medidas de sensibilización y prevención </w:t>
      </w:r>
    </w:p>
    <w:p w14:paraId="75A9B397"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9o. medidas de sensibilización y prevención. </w:t>
      </w:r>
    </w:p>
    <w:p w14:paraId="0A5BA19E"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10. comunicaciones. </w:t>
      </w:r>
    </w:p>
    <w:p w14:paraId="7853E451"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11. medidas educativas. </w:t>
      </w:r>
    </w:p>
    <w:p w14:paraId="456AE0ED"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Artículo 12. medidas en el ámbito laboral.</w:t>
      </w:r>
    </w:p>
    <w:p w14:paraId="3043B459"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13. medidas en el ámbito de la salud. </w:t>
      </w:r>
    </w:p>
    <w:p w14:paraId="306A826A"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Artículo 14. deberes de la familia.</w:t>
      </w:r>
    </w:p>
    <w:p w14:paraId="0119EC50"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15. obligaciones de la sociedad. </w:t>
      </w:r>
    </w:p>
    <w:p w14:paraId="5A8B5755"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 </w:t>
      </w:r>
    </w:p>
    <w:p w14:paraId="2EA24068"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lastRenderedPageBreak/>
        <w:t>Capítulo V. medidas de protección</w:t>
      </w:r>
    </w:p>
    <w:p w14:paraId="218DA3A2"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Artículo 16 y artículo 17. medidas de protección en casos de violencia intrafamiliar.</w:t>
      </w:r>
    </w:p>
    <w:p w14:paraId="51CB4D20"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18. medidas de protección en casos de violencia en ámbitos diferentes al familiar. </w:t>
      </w:r>
    </w:p>
    <w:p w14:paraId="7F5AA534"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 </w:t>
      </w:r>
    </w:p>
    <w:p w14:paraId="5380C143"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Capítulo VI. medidas de atención</w:t>
      </w:r>
    </w:p>
    <w:p w14:paraId="0D830D78"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 </w:t>
      </w:r>
    </w:p>
    <w:p w14:paraId="77A87E2C"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19. medidas de atención </w:t>
      </w:r>
    </w:p>
    <w:p w14:paraId="15FD4610"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20. información. </w:t>
      </w:r>
    </w:p>
    <w:p w14:paraId="307592D4"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Artículo 21. acreditación de las situaciones de violencia.</w:t>
      </w:r>
    </w:p>
    <w:p w14:paraId="298E9FA4"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Artículo 22. estabilización de las víctimas. </w:t>
      </w:r>
    </w:p>
    <w:p w14:paraId="5F8F1B23"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 </w:t>
      </w:r>
    </w:p>
    <w:p w14:paraId="1010EF46"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capítulo VII. de las sanciones</w:t>
      </w:r>
    </w:p>
    <w:p w14:paraId="74B816EF"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Artículo 23 -34. modificaciones a la ley 599 de 2000</w:t>
      </w:r>
    </w:p>
    <w:p w14:paraId="5554CC1A"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 </w:t>
      </w:r>
    </w:p>
    <w:p w14:paraId="3126F642"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Capítulo VIII. Disposiciones finales</w:t>
      </w:r>
    </w:p>
    <w:p w14:paraId="3EC222A2" w14:textId="519FC0EF" w:rsidR="004F7052" w:rsidRPr="00E10543" w:rsidRDefault="00901FF1"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Artículo 35</w:t>
      </w:r>
      <w:r w:rsidR="004F7052" w:rsidRPr="00E10543">
        <w:rPr>
          <w:rFonts w:ascii="Century Gothic" w:hAnsi="Century Gothic"/>
          <w:sz w:val="20"/>
          <w:szCs w:val="20"/>
        </w:rPr>
        <w:t>. Seguimiento</w:t>
      </w:r>
    </w:p>
    <w:p w14:paraId="38B786D4"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Artículo 36. Progresividad</w:t>
      </w:r>
    </w:p>
    <w:p w14:paraId="73BC5505" w14:textId="77777777"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Artículo 37. Para efectos de excepciones de la Ley se tendrá que identificar de manera precisa</w:t>
      </w:r>
    </w:p>
    <w:p w14:paraId="1B169123" w14:textId="120E7204" w:rsidR="004F7052" w:rsidRPr="00E10543" w:rsidRDefault="00901FF1"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Artículo 38</w:t>
      </w:r>
      <w:r w:rsidR="004F7052" w:rsidRPr="00E10543">
        <w:rPr>
          <w:rFonts w:ascii="Century Gothic" w:hAnsi="Century Gothic"/>
          <w:sz w:val="20"/>
          <w:szCs w:val="20"/>
        </w:rPr>
        <w:t>. Obligación de los Gobiernos de divulgar la Ley</w:t>
      </w:r>
    </w:p>
    <w:p w14:paraId="4BCAA9FB" w14:textId="77777777" w:rsidR="004F7052" w:rsidRPr="00E10543" w:rsidRDefault="004F7052" w:rsidP="00E10543">
      <w:pPr>
        <w:widowControl w:val="0"/>
        <w:spacing w:line="276" w:lineRule="auto"/>
        <w:ind w:left="426"/>
        <w:jc w:val="both"/>
        <w:rPr>
          <w:rFonts w:ascii="Century Gothic" w:hAnsi="Century Gothic"/>
          <w:b/>
          <w:color w:val="BE9E55"/>
          <w:sz w:val="20"/>
          <w:szCs w:val="20"/>
        </w:rPr>
      </w:pPr>
      <w:r w:rsidRPr="00E10543">
        <w:rPr>
          <w:rFonts w:ascii="Century Gothic" w:hAnsi="Century Gothic"/>
          <w:sz w:val="20"/>
          <w:szCs w:val="20"/>
        </w:rPr>
        <w:t>Artículo 39. Vigencia</w:t>
      </w:r>
    </w:p>
    <w:p w14:paraId="38E7D9DA" w14:textId="77777777" w:rsidR="004F7052" w:rsidRPr="00E10543" w:rsidRDefault="004F7052" w:rsidP="00E10543">
      <w:pPr>
        <w:spacing w:line="276" w:lineRule="auto"/>
        <w:ind w:left="426"/>
        <w:jc w:val="both"/>
        <w:rPr>
          <w:rFonts w:ascii="Century Gothic" w:hAnsi="Century Gothic"/>
          <w:b/>
          <w:color w:val="4B4949"/>
          <w:sz w:val="20"/>
          <w:szCs w:val="20"/>
        </w:rPr>
      </w:pPr>
    </w:p>
    <w:p w14:paraId="319D479A" w14:textId="77777777" w:rsidR="004F7052" w:rsidRPr="00E10543" w:rsidRDefault="004F7052" w:rsidP="00E10543">
      <w:pPr>
        <w:spacing w:line="276" w:lineRule="auto"/>
        <w:ind w:left="426"/>
        <w:jc w:val="both"/>
        <w:rPr>
          <w:rFonts w:ascii="Century Gothic" w:hAnsi="Century Gothic"/>
          <w:b/>
          <w:color w:val="4B4949"/>
          <w:sz w:val="20"/>
          <w:szCs w:val="20"/>
        </w:rPr>
      </w:pPr>
      <w:r w:rsidRPr="00E10543">
        <w:rPr>
          <w:rFonts w:ascii="Century Gothic" w:hAnsi="Century Gothic"/>
          <w:sz w:val="20"/>
          <w:szCs w:val="20"/>
        </w:rPr>
        <w:t>En este sentido, se modifica la Ley 1257 incluyendo y reconociendo en el ordenamiento jurídico colombiano la violencia vicaria, una manifestación de la violencia de género.</w:t>
      </w:r>
    </w:p>
    <w:p w14:paraId="79D0BCC1" w14:textId="7125735D" w:rsidR="004F7052" w:rsidRDefault="004F7052" w:rsidP="00E10543">
      <w:pPr>
        <w:spacing w:line="276" w:lineRule="auto"/>
        <w:ind w:left="426"/>
        <w:jc w:val="both"/>
        <w:rPr>
          <w:rFonts w:ascii="Century Gothic" w:hAnsi="Century Gothic"/>
          <w:b/>
          <w:color w:val="4B4949"/>
          <w:sz w:val="20"/>
          <w:szCs w:val="20"/>
        </w:rPr>
      </w:pPr>
    </w:p>
    <w:p w14:paraId="6B98ADE4" w14:textId="77777777" w:rsidR="002C1CA8" w:rsidRPr="00E10543" w:rsidRDefault="002C1CA8" w:rsidP="00E10543">
      <w:pPr>
        <w:spacing w:line="276" w:lineRule="auto"/>
        <w:ind w:left="426"/>
        <w:jc w:val="both"/>
        <w:rPr>
          <w:rFonts w:ascii="Century Gothic" w:hAnsi="Century Gothic"/>
          <w:b/>
          <w:color w:val="4B4949"/>
          <w:sz w:val="20"/>
          <w:szCs w:val="20"/>
        </w:rPr>
      </w:pPr>
    </w:p>
    <w:p w14:paraId="57E621D6" w14:textId="03D4207D" w:rsidR="004F7052" w:rsidRPr="00E10543" w:rsidRDefault="002C1CA8" w:rsidP="002C1CA8">
      <w:pPr>
        <w:spacing w:line="276" w:lineRule="auto"/>
        <w:jc w:val="both"/>
        <w:rPr>
          <w:rFonts w:ascii="Century Gothic" w:hAnsi="Century Gothic"/>
          <w:b/>
          <w:sz w:val="20"/>
          <w:szCs w:val="20"/>
        </w:rPr>
      </w:pPr>
      <w:r w:rsidRPr="00E10543">
        <w:rPr>
          <w:rFonts w:ascii="Century Gothic" w:hAnsi="Century Gothic"/>
          <w:b/>
          <w:sz w:val="20"/>
          <w:szCs w:val="20"/>
        </w:rPr>
        <w:t>FUNDAMENTOS JURÍDICOS</w:t>
      </w:r>
    </w:p>
    <w:p w14:paraId="32ACF3F9" w14:textId="77777777" w:rsidR="004F7052" w:rsidRPr="00E10543" w:rsidRDefault="004F7052" w:rsidP="00E10543">
      <w:pPr>
        <w:spacing w:line="276" w:lineRule="auto"/>
        <w:ind w:left="426"/>
        <w:jc w:val="both"/>
        <w:rPr>
          <w:rFonts w:ascii="Century Gothic" w:hAnsi="Century Gothic"/>
          <w:b/>
          <w:sz w:val="20"/>
          <w:szCs w:val="20"/>
        </w:rPr>
      </w:pPr>
    </w:p>
    <w:p w14:paraId="30185A25" w14:textId="77777777" w:rsidR="004F7052" w:rsidRPr="00E10543" w:rsidRDefault="004F7052" w:rsidP="00E10543">
      <w:pPr>
        <w:numPr>
          <w:ilvl w:val="0"/>
          <w:numId w:val="25"/>
        </w:numPr>
        <w:spacing w:line="276" w:lineRule="auto"/>
        <w:ind w:left="426"/>
        <w:jc w:val="both"/>
        <w:rPr>
          <w:rFonts w:ascii="Century Gothic" w:hAnsi="Century Gothic"/>
          <w:b/>
          <w:sz w:val="20"/>
          <w:szCs w:val="20"/>
        </w:rPr>
      </w:pPr>
      <w:r w:rsidRPr="00E10543">
        <w:rPr>
          <w:rFonts w:ascii="Century Gothic" w:hAnsi="Century Gothic"/>
          <w:b/>
          <w:sz w:val="20"/>
          <w:szCs w:val="20"/>
        </w:rPr>
        <w:t>Constitucionales</w:t>
      </w:r>
    </w:p>
    <w:p w14:paraId="31470A3E" w14:textId="1B1E6D13" w:rsidR="004F7052" w:rsidRPr="00E10543" w:rsidRDefault="004F7052" w:rsidP="00E10543">
      <w:pPr>
        <w:shd w:val="clear" w:color="auto" w:fill="FFFFFF"/>
        <w:spacing w:before="240" w:line="276" w:lineRule="auto"/>
        <w:ind w:left="426"/>
        <w:jc w:val="both"/>
        <w:rPr>
          <w:rFonts w:ascii="Century Gothic" w:hAnsi="Century Gothic"/>
          <w:sz w:val="20"/>
          <w:szCs w:val="20"/>
        </w:rPr>
      </w:pPr>
      <w:r w:rsidRPr="00E10543">
        <w:rPr>
          <w:rFonts w:ascii="Century Gothic" w:hAnsi="Century Gothic"/>
          <w:sz w:val="20"/>
          <w:szCs w:val="20"/>
        </w:rPr>
        <w:t xml:space="preserve">La Constitución Política de 1991 significó un cambio en relación con el estatus y los derechos de las mujeres en la sociedad colombiana tal y como lo relata la </w:t>
      </w:r>
      <w:r w:rsidR="00E10543" w:rsidRPr="00E10543">
        <w:rPr>
          <w:rFonts w:ascii="Century Gothic" w:hAnsi="Century Gothic"/>
          <w:sz w:val="20"/>
          <w:szCs w:val="20"/>
        </w:rPr>
        <w:t>sentencia T</w:t>
      </w:r>
      <w:r w:rsidRPr="00E10543">
        <w:rPr>
          <w:rFonts w:ascii="Century Gothic" w:hAnsi="Century Gothic"/>
          <w:sz w:val="20"/>
          <w:szCs w:val="20"/>
        </w:rPr>
        <w:t xml:space="preserve">-344/20. Así mismo, se ha protegido dentro del ordenamiento jurídico de manera integral los derechos de los niños, niñas y adolescentes. Por lo tanto, este Proyecto de Ley tiene en su fundamento, entre otras </w:t>
      </w:r>
      <w:r w:rsidR="00E10543" w:rsidRPr="00E10543">
        <w:rPr>
          <w:rFonts w:ascii="Century Gothic" w:hAnsi="Century Gothic"/>
          <w:sz w:val="20"/>
          <w:szCs w:val="20"/>
        </w:rPr>
        <w:t>los siguientes artículos</w:t>
      </w:r>
      <w:r w:rsidRPr="00E10543">
        <w:rPr>
          <w:rFonts w:ascii="Century Gothic" w:hAnsi="Century Gothic"/>
          <w:sz w:val="20"/>
          <w:szCs w:val="20"/>
        </w:rPr>
        <w:t>:</w:t>
      </w:r>
    </w:p>
    <w:p w14:paraId="0D60CD56" w14:textId="62B3A946" w:rsidR="004F7052" w:rsidRPr="00E10543" w:rsidRDefault="004F7052" w:rsidP="002C1CA8">
      <w:pPr>
        <w:numPr>
          <w:ilvl w:val="0"/>
          <w:numId w:val="36"/>
        </w:numPr>
        <w:shd w:val="clear" w:color="auto" w:fill="FFFFFF"/>
        <w:spacing w:before="240" w:line="276" w:lineRule="auto"/>
        <w:ind w:left="1134"/>
        <w:jc w:val="both"/>
        <w:rPr>
          <w:rFonts w:ascii="Century Gothic" w:hAnsi="Century Gothic"/>
          <w:sz w:val="20"/>
          <w:szCs w:val="20"/>
        </w:rPr>
      </w:pPr>
      <w:r w:rsidRPr="00E10543">
        <w:rPr>
          <w:rFonts w:ascii="Century Gothic" w:hAnsi="Century Gothic"/>
          <w:sz w:val="20"/>
          <w:szCs w:val="20"/>
          <w:highlight w:val="white"/>
          <w:u w:val="single"/>
        </w:rPr>
        <w:t>Artículo 11.</w:t>
      </w:r>
      <w:r w:rsidRPr="00E10543">
        <w:rPr>
          <w:rFonts w:ascii="Century Gothic" w:hAnsi="Century Gothic"/>
          <w:i/>
          <w:sz w:val="20"/>
          <w:szCs w:val="20"/>
          <w:highlight w:val="white"/>
          <w:u w:val="single"/>
        </w:rPr>
        <w:t xml:space="preserve"> </w:t>
      </w:r>
      <w:r w:rsidRPr="00E10543">
        <w:rPr>
          <w:rFonts w:ascii="Century Gothic" w:hAnsi="Century Gothic"/>
          <w:i/>
          <w:sz w:val="20"/>
          <w:szCs w:val="20"/>
          <w:highlight w:val="white"/>
        </w:rPr>
        <w:t>El derecho a la vida es inviolable. No habrá pena de muerte.</w:t>
      </w:r>
      <w:r w:rsidR="002C1CA8">
        <w:rPr>
          <w:rFonts w:ascii="Century Gothic" w:hAnsi="Century Gothic"/>
          <w:i/>
          <w:sz w:val="20"/>
          <w:szCs w:val="20"/>
        </w:rPr>
        <w:br/>
      </w:r>
    </w:p>
    <w:p w14:paraId="55B2036E" w14:textId="1EB50C13" w:rsidR="004F7052" w:rsidRPr="00E10543" w:rsidRDefault="004F7052" w:rsidP="002C1CA8">
      <w:pPr>
        <w:numPr>
          <w:ilvl w:val="0"/>
          <w:numId w:val="36"/>
        </w:numPr>
        <w:shd w:val="clear" w:color="auto" w:fill="FFFFFF"/>
        <w:spacing w:line="276" w:lineRule="auto"/>
        <w:ind w:left="1134"/>
        <w:jc w:val="both"/>
        <w:rPr>
          <w:rFonts w:ascii="Century Gothic" w:hAnsi="Century Gothic"/>
          <w:sz w:val="20"/>
          <w:szCs w:val="20"/>
          <w:highlight w:val="white"/>
        </w:rPr>
      </w:pPr>
      <w:r w:rsidRPr="00E10543">
        <w:rPr>
          <w:rFonts w:ascii="Century Gothic" w:hAnsi="Century Gothic"/>
          <w:sz w:val="20"/>
          <w:szCs w:val="20"/>
          <w:u w:val="single"/>
        </w:rPr>
        <w:t>Artículo</w:t>
      </w:r>
      <w:r w:rsidR="00901FF1">
        <w:rPr>
          <w:rFonts w:ascii="Century Gothic" w:hAnsi="Century Gothic"/>
          <w:sz w:val="20"/>
          <w:szCs w:val="20"/>
          <w:u w:val="single"/>
        </w:rPr>
        <w:t xml:space="preserve"> </w:t>
      </w:r>
      <w:r w:rsidRPr="00E10543">
        <w:rPr>
          <w:rFonts w:ascii="Century Gothic" w:hAnsi="Century Gothic"/>
          <w:sz w:val="20"/>
          <w:szCs w:val="20"/>
          <w:u w:val="single"/>
        </w:rPr>
        <w:t>13</w:t>
      </w:r>
      <w:r w:rsidR="00901FF1">
        <w:rPr>
          <w:rFonts w:ascii="Century Gothic" w:hAnsi="Century Gothic"/>
          <w:sz w:val="20"/>
          <w:szCs w:val="20"/>
          <w:u w:val="single"/>
        </w:rPr>
        <w:t xml:space="preserve">. </w:t>
      </w:r>
      <w:r w:rsidRPr="00E10543">
        <w:rPr>
          <w:rFonts w:ascii="Century Gothic" w:hAnsi="Century Gothic"/>
          <w:i/>
          <w:sz w:val="20"/>
          <w:szCs w:val="20"/>
        </w:rPr>
        <w:t xml:space="preserve">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El Estado promoverá las condiciones para que la igualdad sea real y efectiva y adoptará medidas en favor de grupos discriminados o marginados.El Estado protegerá especialmente a aquellas personas que por su condición económica, física o mental, se encuentren en circunstancia de debilidad </w:t>
      </w:r>
      <w:r w:rsidRPr="00E10543">
        <w:rPr>
          <w:rFonts w:ascii="Century Gothic" w:hAnsi="Century Gothic"/>
          <w:i/>
          <w:color w:val="4B4949"/>
          <w:sz w:val="20"/>
          <w:szCs w:val="20"/>
        </w:rPr>
        <w:t>manifiesta y sancionará los abusos o maltratos que contra ellas se cometan.</w:t>
      </w:r>
      <w:r w:rsidR="002C1CA8">
        <w:rPr>
          <w:rFonts w:ascii="Century Gothic" w:hAnsi="Century Gothic"/>
          <w:i/>
          <w:color w:val="4B4949"/>
          <w:sz w:val="20"/>
          <w:szCs w:val="20"/>
        </w:rPr>
        <w:tab/>
      </w:r>
      <w:r w:rsidR="002C1CA8">
        <w:rPr>
          <w:rFonts w:ascii="Century Gothic" w:hAnsi="Century Gothic"/>
          <w:i/>
          <w:color w:val="4B4949"/>
          <w:sz w:val="20"/>
          <w:szCs w:val="20"/>
        </w:rPr>
        <w:br/>
      </w:r>
    </w:p>
    <w:p w14:paraId="293A6CBA" w14:textId="77777777" w:rsidR="004F7052" w:rsidRPr="00E10543" w:rsidRDefault="004F7052" w:rsidP="002C1CA8">
      <w:pPr>
        <w:numPr>
          <w:ilvl w:val="0"/>
          <w:numId w:val="36"/>
        </w:numPr>
        <w:shd w:val="clear" w:color="auto" w:fill="FFFFFF"/>
        <w:spacing w:line="276" w:lineRule="auto"/>
        <w:ind w:left="1134"/>
        <w:jc w:val="both"/>
        <w:rPr>
          <w:rFonts w:ascii="Century Gothic" w:hAnsi="Century Gothic"/>
          <w:sz w:val="20"/>
          <w:szCs w:val="20"/>
        </w:rPr>
      </w:pPr>
      <w:r w:rsidRPr="00E10543">
        <w:rPr>
          <w:rFonts w:ascii="Century Gothic" w:hAnsi="Century Gothic"/>
          <w:sz w:val="20"/>
          <w:szCs w:val="20"/>
          <w:u w:val="single"/>
        </w:rPr>
        <w:t>Artículo 42</w:t>
      </w:r>
      <w:r w:rsidRPr="00E10543">
        <w:rPr>
          <w:rFonts w:ascii="Century Gothic" w:hAnsi="Century Gothic"/>
          <w:sz w:val="20"/>
          <w:szCs w:val="20"/>
        </w:rPr>
        <w:t xml:space="preserve">. </w:t>
      </w:r>
      <w:r w:rsidRPr="00E10543">
        <w:rPr>
          <w:rFonts w:ascii="Century Gothic" w:hAnsi="Century Gothic"/>
          <w:i/>
          <w:sz w:val="20"/>
          <w:szCs w:val="20"/>
        </w:rPr>
        <w:t xml:space="preserve">La familia es el núcleo fundamental de la sociedad. Se constituye por vínculos naturales o jurídicos, por la decisión libre de un hombre y una mujer de contraer matrimonio o por la voluntad responsable de conformarla. El Estado y la sociedad garantizan la protección integral de la familia. La ley podrá determinar el patrimonio familiar inalienable e inembargable. La honra, la dignidad y la intimidad de la familia son inviolables. Las relaciones familiares se </w:t>
      </w:r>
      <w:r w:rsidRPr="00E10543">
        <w:rPr>
          <w:rFonts w:ascii="Century Gothic" w:hAnsi="Century Gothic"/>
          <w:i/>
          <w:sz w:val="20"/>
          <w:szCs w:val="20"/>
        </w:rPr>
        <w:lastRenderedPageBreak/>
        <w:t xml:space="preserve">basan en la igualdad de derechos y deberes de la pareja y en el respeto recíproco entre todos sus integrantes. </w:t>
      </w:r>
      <w:r w:rsidRPr="00E10543">
        <w:rPr>
          <w:rFonts w:ascii="Century Gothic" w:hAnsi="Century Gothic"/>
          <w:i/>
          <w:sz w:val="20"/>
          <w:szCs w:val="20"/>
          <w:u w:val="single"/>
        </w:rPr>
        <w:t xml:space="preserve">Cualquier forma de violencia en la familia se considera destructiva de su armonía y unidad, y será sancionada conforme a la ley. </w:t>
      </w:r>
      <w:r w:rsidRPr="00E10543">
        <w:rPr>
          <w:rFonts w:ascii="Century Gothic" w:hAnsi="Century Gothic"/>
          <w:i/>
          <w:sz w:val="20"/>
          <w:szCs w:val="20"/>
        </w:rPr>
        <w:t>Los hijos habidos en el matrimonio o fuera de él, adoptados o procreados naturalmente o con asistencia científica, tienen iguales derechos y deberes. La ley reglamentará la progenitura responsable. La pareja tiene derecho a decidir libre y responsablemente el número de sus hijos, y deberá sostenerlos y educarlos mientras sean menores o impedidos. Las formas del matrimonio, la edad y capacidad para contraerlo, los deberes y derechos de los cónyuges, su separación y la disolución del vínculo, se rigen por la ley civil. Los matrimonios religiosos tendrán efectos civiles en los términos que establezca la ley. Los efectos civiles de todo matrimonio cesarán por divorcio con arreglo a la ley civil. También tendrán efectos civiles las sentencias de nulidad de los matrimonios religiosos dictadas por las autoridades de la respectiva religión, en los términos que establezca la ley. La ley determinará lo relativo al estado civil de las personas y los consiguientes derechos y deberes.</w:t>
      </w:r>
    </w:p>
    <w:p w14:paraId="4169E646" w14:textId="10CD6729" w:rsidR="004F7052" w:rsidRPr="00E10543" w:rsidRDefault="004F7052" w:rsidP="002C1CA8">
      <w:pPr>
        <w:numPr>
          <w:ilvl w:val="0"/>
          <w:numId w:val="36"/>
        </w:numPr>
        <w:shd w:val="clear" w:color="auto" w:fill="FFFFFF"/>
        <w:spacing w:line="276" w:lineRule="auto"/>
        <w:ind w:left="1134"/>
        <w:jc w:val="both"/>
        <w:rPr>
          <w:rFonts w:ascii="Century Gothic" w:hAnsi="Century Gothic"/>
          <w:i/>
          <w:sz w:val="20"/>
          <w:szCs w:val="20"/>
        </w:rPr>
      </w:pPr>
      <w:r w:rsidRPr="00E10543">
        <w:rPr>
          <w:rFonts w:ascii="Century Gothic" w:hAnsi="Century Gothic"/>
          <w:sz w:val="20"/>
          <w:szCs w:val="20"/>
          <w:u w:val="single"/>
        </w:rPr>
        <w:t>Artículo 43.</w:t>
      </w:r>
      <w:r w:rsidRPr="00E10543">
        <w:rPr>
          <w:rFonts w:ascii="Century Gothic" w:hAnsi="Century Gothic"/>
          <w:b/>
          <w:i/>
          <w:sz w:val="20"/>
          <w:szCs w:val="20"/>
        </w:rPr>
        <w:t xml:space="preserve"> </w:t>
      </w:r>
      <w:r w:rsidRPr="00E10543">
        <w:rPr>
          <w:rFonts w:ascii="Century Gothic" w:hAnsi="Century Gothic"/>
          <w:i/>
          <w:sz w:val="20"/>
          <w:szCs w:val="20"/>
        </w:rPr>
        <w:t>La mujer y el hombre tienen iguales derechos y oportunidades. La mujer no podrá ser sometida a ninguna clase de discriminación. Durante el embarazo y después del parto gozará de especial asistencia y protección del Estado, y recibirá de éste subsidio alimentario si entonces estuviere desempleada o desamparada. El Estado apoyará de manera especial a la mujer cabeza de familia.</w:t>
      </w:r>
      <w:r w:rsidR="002C1CA8">
        <w:rPr>
          <w:rFonts w:ascii="Century Gothic" w:hAnsi="Century Gothic"/>
          <w:i/>
          <w:sz w:val="20"/>
          <w:szCs w:val="20"/>
        </w:rPr>
        <w:tab/>
      </w:r>
      <w:r w:rsidR="002C1CA8">
        <w:rPr>
          <w:rFonts w:ascii="Century Gothic" w:hAnsi="Century Gothic"/>
          <w:i/>
          <w:sz w:val="20"/>
          <w:szCs w:val="20"/>
        </w:rPr>
        <w:br/>
      </w:r>
    </w:p>
    <w:p w14:paraId="16B3E8F1" w14:textId="77777777" w:rsidR="004F7052" w:rsidRPr="00E10543" w:rsidRDefault="004F7052" w:rsidP="002C1CA8">
      <w:pPr>
        <w:numPr>
          <w:ilvl w:val="0"/>
          <w:numId w:val="36"/>
        </w:numPr>
        <w:spacing w:line="276" w:lineRule="auto"/>
        <w:ind w:left="1134"/>
        <w:jc w:val="both"/>
        <w:rPr>
          <w:rFonts w:ascii="Century Gothic" w:hAnsi="Century Gothic"/>
          <w:i/>
          <w:sz w:val="20"/>
          <w:szCs w:val="20"/>
        </w:rPr>
      </w:pPr>
      <w:r w:rsidRPr="00E10543">
        <w:rPr>
          <w:rFonts w:ascii="Century Gothic" w:hAnsi="Century Gothic"/>
          <w:i/>
          <w:sz w:val="20"/>
          <w:szCs w:val="20"/>
          <w:u w:val="single"/>
        </w:rPr>
        <w:t xml:space="preserve">Artículo 44. </w:t>
      </w:r>
      <w:r w:rsidRPr="00E10543">
        <w:rPr>
          <w:rFonts w:ascii="Century Gothic" w:hAnsi="Century Gothic"/>
          <w:i/>
          <w:sz w:val="20"/>
          <w:szCs w:val="20"/>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 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 Los derechos de los niños prevalecen sobre los derechos de los demás.</w:t>
      </w:r>
    </w:p>
    <w:p w14:paraId="7C4CC5B0" w14:textId="77777777" w:rsidR="004F7052" w:rsidRPr="00E10543" w:rsidRDefault="004F7052" w:rsidP="00E10543">
      <w:pPr>
        <w:numPr>
          <w:ilvl w:val="0"/>
          <w:numId w:val="26"/>
        </w:numPr>
        <w:shd w:val="clear" w:color="auto" w:fill="FFFFFF"/>
        <w:spacing w:before="240" w:line="276" w:lineRule="auto"/>
        <w:ind w:left="426"/>
        <w:jc w:val="both"/>
        <w:rPr>
          <w:rFonts w:ascii="Century Gothic" w:hAnsi="Century Gothic"/>
          <w:b/>
          <w:sz w:val="20"/>
          <w:szCs w:val="20"/>
        </w:rPr>
      </w:pPr>
      <w:r w:rsidRPr="00E10543">
        <w:rPr>
          <w:rFonts w:ascii="Century Gothic" w:hAnsi="Century Gothic"/>
          <w:b/>
          <w:sz w:val="20"/>
          <w:szCs w:val="20"/>
        </w:rPr>
        <w:t xml:space="preserve"> Legales</w:t>
      </w:r>
    </w:p>
    <w:p w14:paraId="2848F7E3" w14:textId="77777777" w:rsidR="004F7052" w:rsidRPr="00E10543" w:rsidRDefault="004F7052" w:rsidP="00E10543">
      <w:pPr>
        <w:shd w:val="clear" w:color="auto" w:fill="FFFFFF"/>
        <w:spacing w:before="240" w:line="276" w:lineRule="auto"/>
        <w:ind w:left="426"/>
        <w:jc w:val="both"/>
        <w:rPr>
          <w:rFonts w:ascii="Century Gothic" w:hAnsi="Century Gothic"/>
          <w:sz w:val="20"/>
          <w:szCs w:val="20"/>
        </w:rPr>
      </w:pPr>
      <w:r w:rsidRPr="00E10543">
        <w:rPr>
          <w:rFonts w:ascii="Century Gothic" w:hAnsi="Century Gothic"/>
          <w:sz w:val="20"/>
          <w:szCs w:val="20"/>
        </w:rPr>
        <w:t xml:space="preserve">El Congreso de la República ha expedido una serie de disposiciones legales encaminadas a la prevención, sanción y erradicación de la violencia contra la mujer y en la protección de los niños, niñas y adolescentes, entre las que se destacan: </w:t>
      </w:r>
    </w:p>
    <w:p w14:paraId="125A7830" w14:textId="0DC93509" w:rsidR="004F7052" w:rsidRPr="002C1CA8" w:rsidRDefault="004F7052" w:rsidP="00E10543">
      <w:pPr>
        <w:numPr>
          <w:ilvl w:val="0"/>
          <w:numId w:val="37"/>
        </w:numPr>
        <w:shd w:val="clear" w:color="auto" w:fill="FFFFFF"/>
        <w:spacing w:before="240" w:line="276" w:lineRule="auto"/>
        <w:ind w:left="426"/>
        <w:jc w:val="both"/>
        <w:rPr>
          <w:rFonts w:ascii="Century Gothic" w:hAnsi="Century Gothic"/>
          <w:sz w:val="20"/>
          <w:szCs w:val="20"/>
        </w:rPr>
      </w:pPr>
      <w:r w:rsidRPr="00E10543">
        <w:rPr>
          <w:rFonts w:ascii="Century Gothic" w:hAnsi="Century Gothic"/>
          <w:sz w:val="20"/>
          <w:szCs w:val="20"/>
        </w:rPr>
        <w:t xml:space="preserve"> </w:t>
      </w:r>
      <w:r w:rsidRPr="002C1CA8">
        <w:rPr>
          <w:rFonts w:ascii="Century Gothic" w:hAnsi="Century Gothic"/>
          <w:sz w:val="20"/>
          <w:szCs w:val="20"/>
          <w:u w:val="single"/>
        </w:rPr>
        <w:t xml:space="preserve">Ley 294 de 1996, </w:t>
      </w:r>
      <w:r w:rsidRPr="002C1CA8">
        <w:rPr>
          <w:rFonts w:ascii="Century Gothic" w:hAnsi="Century Gothic"/>
          <w:sz w:val="20"/>
          <w:szCs w:val="20"/>
        </w:rPr>
        <w:t xml:space="preserve">“por la cual se desarrolla el artículo 42 de la Constitución Política y se dictan normas para prevenir, remediar y sancionar la violencia intrafamiliar”.  </w:t>
      </w:r>
      <w:r w:rsidR="002C1CA8" w:rsidRPr="002C1CA8">
        <w:rPr>
          <w:rFonts w:ascii="Century Gothic" w:hAnsi="Century Gothic"/>
          <w:sz w:val="20"/>
          <w:szCs w:val="20"/>
        </w:rPr>
        <w:tab/>
      </w:r>
      <w:r w:rsidR="002C1CA8" w:rsidRPr="002C1CA8">
        <w:rPr>
          <w:rFonts w:ascii="Century Gothic" w:hAnsi="Century Gothic"/>
          <w:sz w:val="20"/>
          <w:szCs w:val="20"/>
        </w:rPr>
        <w:br/>
      </w:r>
    </w:p>
    <w:p w14:paraId="4E920785" w14:textId="36817934" w:rsidR="00E10543" w:rsidRPr="002C1CA8" w:rsidRDefault="00E10543" w:rsidP="00E10543">
      <w:pPr>
        <w:numPr>
          <w:ilvl w:val="0"/>
          <w:numId w:val="37"/>
        </w:numPr>
        <w:spacing w:line="276" w:lineRule="auto"/>
        <w:ind w:left="426"/>
        <w:jc w:val="both"/>
        <w:rPr>
          <w:rFonts w:ascii="Century Gothic" w:hAnsi="Century Gothic"/>
          <w:sz w:val="20"/>
          <w:szCs w:val="20"/>
        </w:rPr>
      </w:pPr>
      <w:r w:rsidRPr="002C1CA8">
        <w:rPr>
          <w:rFonts w:ascii="Century Gothic" w:hAnsi="Century Gothic"/>
          <w:sz w:val="20"/>
          <w:szCs w:val="20"/>
          <w:u w:val="single"/>
        </w:rPr>
        <w:t xml:space="preserve">Ley 360 de 1997 </w:t>
      </w:r>
      <w:r w:rsidRPr="002C1CA8">
        <w:rPr>
          <w:rFonts w:ascii="Century Gothic" w:hAnsi="Century Gothic"/>
          <w:sz w:val="20"/>
          <w:szCs w:val="20"/>
        </w:rPr>
        <w:t>“Por medio de la cual se modifican algunas normas del título XI del Libro II del Decreto-</w:t>
      </w:r>
      <w:r w:rsidR="002C1CA8">
        <w:rPr>
          <w:rFonts w:ascii="Century Gothic" w:hAnsi="Century Gothic"/>
          <w:sz w:val="20"/>
          <w:szCs w:val="20"/>
        </w:rPr>
        <w:t xml:space="preserve">ley 100 de 1980 (Código Penal), </w:t>
      </w:r>
      <w:r w:rsidRPr="002C1CA8">
        <w:rPr>
          <w:rFonts w:ascii="Century Gothic" w:hAnsi="Century Gothic"/>
          <w:sz w:val="20"/>
          <w:szCs w:val="20"/>
        </w:rPr>
        <w:t>relativo a los delitos contra la libertad y pudor sexuales,  y se adiciona el artículo 417 del Decreto 2700 de 1991  (Código Procedimiento Penal) y se dictan otras disposiciones.”. Derechos de las Victimas de violencia sexual.</w:t>
      </w:r>
      <w:r w:rsidR="002C1CA8" w:rsidRPr="002C1CA8">
        <w:rPr>
          <w:rFonts w:ascii="Century Gothic" w:hAnsi="Century Gothic"/>
          <w:sz w:val="20"/>
          <w:szCs w:val="20"/>
        </w:rPr>
        <w:tab/>
      </w:r>
      <w:r w:rsidR="002C1CA8" w:rsidRPr="002C1CA8">
        <w:rPr>
          <w:rFonts w:ascii="Century Gothic" w:hAnsi="Century Gothic"/>
          <w:sz w:val="20"/>
          <w:szCs w:val="20"/>
        </w:rPr>
        <w:br/>
      </w:r>
    </w:p>
    <w:p w14:paraId="33C1902C" w14:textId="0353B0E1" w:rsidR="004F7052" w:rsidRPr="002C1CA8" w:rsidRDefault="004F7052" w:rsidP="00E10543">
      <w:pPr>
        <w:numPr>
          <w:ilvl w:val="0"/>
          <w:numId w:val="37"/>
        </w:numPr>
        <w:shd w:val="clear" w:color="auto" w:fill="FFFFFF"/>
        <w:spacing w:line="276" w:lineRule="auto"/>
        <w:ind w:left="426"/>
        <w:jc w:val="both"/>
        <w:rPr>
          <w:rFonts w:ascii="Century Gothic" w:hAnsi="Century Gothic"/>
          <w:sz w:val="20"/>
          <w:szCs w:val="20"/>
        </w:rPr>
      </w:pPr>
      <w:r w:rsidRPr="002C1CA8">
        <w:rPr>
          <w:rFonts w:ascii="Century Gothic" w:hAnsi="Century Gothic"/>
          <w:sz w:val="20"/>
          <w:szCs w:val="20"/>
          <w:u w:val="single"/>
        </w:rPr>
        <w:t>Ley 575 de 2000</w:t>
      </w:r>
      <w:r w:rsidRPr="002C1CA8">
        <w:rPr>
          <w:rFonts w:ascii="Century Gothic" w:hAnsi="Century Gothic"/>
          <w:sz w:val="20"/>
          <w:szCs w:val="20"/>
        </w:rPr>
        <w:t xml:space="preserve"> </w:t>
      </w:r>
      <w:r w:rsidRPr="002C1CA8">
        <w:rPr>
          <w:rFonts w:ascii="Century Gothic" w:hAnsi="Century Gothic"/>
          <w:sz w:val="20"/>
          <w:szCs w:val="20"/>
          <w:highlight w:val="white"/>
        </w:rPr>
        <w:t>"Por medio de la cual se reforma parcialmente la Ley 294 de 1996.</w:t>
      </w:r>
      <w:r w:rsidR="002C1CA8" w:rsidRPr="002C1CA8">
        <w:rPr>
          <w:rFonts w:ascii="Century Gothic" w:hAnsi="Century Gothic"/>
          <w:sz w:val="20"/>
          <w:szCs w:val="20"/>
        </w:rPr>
        <w:br/>
      </w:r>
    </w:p>
    <w:p w14:paraId="4B3EB080" w14:textId="23045BCD" w:rsidR="004F7052" w:rsidRPr="002C1CA8" w:rsidRDefault="004F7052" w:rsidP="00284E7A">
      <w:pPr>
        <w:numPr>
          <w:ilvl w:val="0"/>
          <w:numId w:val="37"/>
        </w:numPr>
        <w:shd w:val="clear" w:color="auto" w:fill="FFFFFF"/>
        <w:spacing w:line="276" w:lineRule="auto"/>
        <w:ind w:left="426"/>
        <w:jc w:val="both"/>
        <w:rPr>
          <w:rFonts w:ascii="Century Gothic" w:hAnsi="Century Gothic"/>
          <w:sz w:val="20"/>
          <w:szCs w:val="20"/>
          <w:highlight w:val="white"/>
        </w:rPr>
      </w:pPr>
      <w:r w:rsidRPr="002C1CA8">
        <w:rPr>
          <w:rFonts w:ascii="Century Gothic" w:hAnsi="Century Gothic"/>
          <w:sz w:val="20"/>
          <w:szCs w:val="20"/>
          <w:highlight w:val="white"/>
          <w:u w:val="single"/>
        </w:rPr>
        <w:lastRenderedPageBreak/>
        <w:t xml:space="preserve">Ley 1098 de 2006 </w:t>
      </w:r>
      <w:r w:rsidRPr="002C1CA8">
        <w:rPr>
          <w:rFonts w:ascii="Century Gothic" w:hAnsi="Century Gothic"/>
          <w:sz w:val="20"/>
          <w:szCs w:val="20"/>
          <w:highlight w:val="white"/>
        </w:rPr>
        <w:t>“por la cual se expide el Código de la Infancia y la Adolescencia”</w:t>
      </w:r>
      <w:r w:rsidR="002C1CA8" w:rsidRPr="002C1CA8">
        <w:rPr>
          <w:rFonts w:ascii="Century Gothic" w:hAnsi="Century Gothic"/>
          <w:sz w:val="20"/>
          <w:szCs w:val="20"/>
          <w:highlight w:val="white"/>
        </w:rPr>
        <w:br/>
      </w:r>
      <w:r w:rsidR="002C1CA8" w:rsidRPr="002C1CA8">
        <w:rPr>
          <w:rFonts w:ascii="Century Gothic" w:hAnsi="Century Gothic"/>
          <w:sz w:val="20"/>
          <w:szCs w:val="20"/>
          <w:u w:val="single"/>
        </w:rPr>
        <w:br/>
      </w:r>
      <w:r w:rsidRPr="002C1CA8">
        <w:rPr>
          <w:rFonts w:ascii="Century Gothic" w:hAnsi="Century Gothic"/>
          <w:sz w:val="20"/>
          <w:szCs w:val="20"/>
          <w:u w:val="single"/>
        </w:rPr>
        <w:t>Ley 2246 de 2007, “</w:t>
      </w:r>
      <w:r w:rsidRPr="002C1CA8">
        <w:rPr>
          <w:rFonts w:ascii="Century Gothic" w:hAnsi="Century Gothic"/>
          <w:sz w:val="20"/>
          <w:szCs w:val="20"/>
        </w:rPr>
        <w:t>Por medio de la cual se expiden normas para la prevención de la violencia sexual y aTención integral de los niños, niñas y adolescentes abusados sexualmente”.</w:t>
      </w:r>
    </w:p>
    <w:p w14:paraId="3F060048" w14:textId="2B72D4AC" w:rsidR="004F7052" w:rsidRPr="002C1CA8" w:rsidRDefault="004F7052" w:rsidP="00E10543">
      <w:pPr>
        <w:numPr>
          <w:ilvl w:val="0"/>
          <w:numId w:val="37"/>
        </w:numPr>
        <w:shd w:val="clear" w:color="auto" w:fill="FFFFFF"/>
        <w:spacing w:line="276" w:lineRule="auto"/>
        <w:ind w:left="426"/>
        <w:jc w:val="both"/>
        <w:rPr>
          <w:rFonts w:ascii="Century Gothic" w:hAnsi="Century Gothic"/>
          <w:sz w:val="20"/>
          <w:szCs w:val="20"/>
        </w:rPr>
      </w:pPr>
      <w:r w:rsidRPr="002C1CA8">
        <w:rPr>
          <w:rFonts w:ascii="Century Gothic" w:hAnsi="Century Gothic"/>
          <w:sz w:val="20"/>
          <w:szCs w:val="20"/>
          <w:u w:val="single"/>
        </w:rPr>
        <w:t>Ley 1257 de 2008,</w:t>
      </w:r>
      <w:r w:rsidRPr="002C1CA8">
        <w:rPr>
          <w:rFonts w:ascii="Century Gothic" w:hAnsi="Century Gothic"/>
          <w:sz w:val="20"/>
          <w:szCs w:val="20"/>
        </w:rPr>
        <w:t xml:space="preserve"> “por la cual se dictan normas de sensibilización, prevención y sanción de formas de violencia y discriminación contra las mujeres, se reforman los Códigos Penal, de Procedimiento Penal, la Ley 294 de 1996 y se dictan otras disposiciones”. </w:t>
      </w:r>
      <w:r w:rsidR="002C1CA8" w:rsidRPr="002C1CA8">
        <w:rPr>
          <w:rFonts w:ascii="Century Gothic" w:hAnsi="Century Gothic"/>
          <w:sz w:val="20"/>
          <w:szCs w:val="20"/>
        </w:rPr>
        <w:br/>
      </w:r>
    </w:p>
    <w:p w14:paraId="6445A591" w14:textId="1BE0291C" w:rsidR="004F7052" w:rsidRPr="002C1CA8" w:rsidRDefault="004F7052" w:rsidP="00E10543">
      <w:pPr>
        <w:numPr>
          <w:ilvl w:val="0"/>
          <w:numId w:val="37"/>
        </w:numPr>
        <w:shd w:val="clear" w:color="auto" w:fill="FFFFFF"/>
        <w:spacing w:line="276" w:lineRule="auto"/>
        <w:ind w:left="426"/>
        <w:jc w:val="both"/>
        <w:rPr>
          <w:rFonts w:ascii="Century Gothic" w:hAnsi="Century Gothic"/>
          <w:sz w:val="20"/>
          <w:szCs w:val="20"/>
        </w:rPr>
      </w:pPr>
      <w:r w:rsidRPr="002C1CA8">
        <w:rPr>
          <w:rFonts w:ascii="Century Gothic" w:hAnsi="Century Gothic"/>
          <w:sz w:val="20"/>
          <w:szCs w:val="20"/>
          <w:u w:val="single"/>
        </w:rPr>
        <w:t xml:space="preserve"> Ley 1542 de 2012, </w:t>
      </w:r>
      <w:r w:rsidRPr="002C1CA8">
        <w:rPr>
          <w:rFonts w:ascii="Century Gothic" w:hAnsi="Century Gothic"/>
          <w:sz w:val="20"/>
          <w:szCs w:val="20"/>
        </w:rPr>
        <w:t>“por la cual se reforma el artículo 74 de la Ley 906 de 2004, Código de Procedimiento Penal”.</w:t>
      </w:r>
      <w:r w:rsidR="002C1CA8" w:rsidRPr="002C1CA8">
        <w:rPr>
          <w:rFonts w:ascii="Century Gothic" w:hAnsi="Century Gothic"/>
          <w:sz w:val="20"/>
          <w:szCs w:val="20"/>
        </w:rPr>
        <w:tab/>
      </w:r>
      <w:r w:rsidR="002C1CA8" w:rsidRPr="002C1CA8">
        <w:rPr>
          <w:rFonts w:ascii="Century Gothic" w:hAnsi="Century Gothic"/>
          <w:sz w:val="20"/>
          <w:szCs w:val="20"/>
        </w:rPr>
        <w:br/>
      </w:r>
    </w:p>
    <w:p w14:paraId="5EED9C97" w14:textId="34B3793D" w:rsidR="004F7052" w:rsidRPr="002C1CA8" w:rsidRDefault="004F7052" w:rsidP="00E10543">
      <w:pPr>
        <w:numPr>
          <w:ilvl w:val="0"/>
          <w:numId w:val="37"/>
        </w:numPr>
        <w:shd w:val="clear" w:color="auto" w:fill="FFFFFF"/>
        <w:spacing w:line="276" w:lineRule="auto"/>
        <w:ind w:left="426"/>
        <w:jc w:val="both"/>
        <w:rPr>
          <w:rFonts w:ascii="Century Gothic" w:hAnsi="Century Gothic"/>
          <w:sz w:val="20"/>
          <w:szCs w:val="20"/>
        </w:rPr>
      </w:pPr>
      <w:r w:rsidRPr="002C1CA8">
        <w:rPr>
          <w:rFonts w:ascii="Century Gothic" w:hAnsi="Century Gothic"/>
          <w:sz w:val="20"/>
          <w:szCs w:val="20"/>
          <w:u w:val="single"/>
        </w:rPr>
        <w:t xml:space="preserve"> Ley 1639 de 2013,</w:t>
      </w:r>
      <w:r w:rsidRPr="002C1CA8">
        <w:rPr>
          <w:rFonts w:ascii="Century Gothic" w:hAnsi="Century Gothic"/>
          <w:sz w:val="20"/>
          <w:szCs w:val="20"/>
        </w:rPr>
        <w:t xml:space="preserve"> “por medio de la cual se fortalecen las medidas de protección a la integridad de las víctimas de crímenes con ácido y se adiciona el artículo 113 de la Ley 599 de 2000”. </w:t>
      </w:r>
      <w:r w:rsidR="002C1CA8" w:rsidRPr="002C1CA8">
        <w:rPr>
          <w:rFonts w:ascii="Century Gothic" w:hAnsi="Century Gothic"/>
          <w:sz w:val="20"/>
          <w:szCs w:val="20"/>
        </w:rPr>
        <w:tab/>
      </w:r>
      <w:r w:rsidR="002C1CA8" w:rsidRPr="002C1CA8">
        <w:rPr>
          <w:rFonts w:ascii="Century Gothic" w:hAnsi="Century Gothic"/>
          <w:sz w:val="20"/>
          <w:szCs w:val="20"/>
        </w:rPr>
        <w:br/>
      </w:r>
    </w:p>
    <w:p w14:paraId="5C9D42CB" w14:textId="3764C86E" w:rsidR="004F7052" w:rsidRPr="002C1CA8" w:rsidRDefault="004F7052" w:rsidP="00E10543">
      <w:pPr>
        <w:numPr>
          <w:ilvl w:val="0"/>
          <w:numId w:val="37"/>
        </w:numPr>
        <w:shd w:val="clear" w:color="auto" w:fill="FFFFFF"/>
        <w:spacing w:line="276" w:lineRule="auto"/>
        <w:ind w:left="426"/>
        <w:jc w:val="both"/>
        <w:rPr>
          <w:rFonts w:ascii="Century Gothic" w:hAnsi="Century Gothic"/>
          <w:sz w:val="20"/>
          <w:szCs w:val="20"/>
        </w:rPr>
      </w:pPr>
      <w:r w:rsidRPr="002C1CA8">
        <w:rPr>
          <w:rFonts w:ascii="Century Gothic" w:hAnsi="Century Gothic"/>
          <w:sz w:val="20"/>
          <w:szCs w:val="20"/>
          <w:u w:val="single"/>
        </w:rPr>
        <w:t>Ley 1719 de 2014 “</w:t>
      </w:r>
      <w:r w:rsidRPr="002C1CA8">
        <w:rPr>
          <w:rFonts w:ascii="Century Gothic" w:hAnsi="Century Gothic"/>
          <w:sz w:val="20"/>
          <w:szCs w:val="20"/>
        </w:rPr>
        <w:t>Por la cual se modifican algunos artículos de las Leyes 599 de 2000, 906 de 2004 y se adoptan medidas para garantizar el acceso a la justicia de las víctimas de violencia sexual, en especial la violencia sexual con ocasión del conflicto armado, y se dictan otras disposiciones.”</w:t>
      </w:r>
      <w:r w:rsidR="002C1CA8" w:rsidRPr="002C1CA8">
        <w:rPr>
          <w:rFonts w:ascii="Century Gothic" w:hAnsi="Century Gothic"/>
          <w:sz w:val="20"/>
          <w:szCs w:val="20"/>
        </w:rPr>
        <w:tab/>
      </w:r>
      <w:r w:rsidR="002C1CA8" w:rsidRPr="002C1CA8">
        <w:rPr>
          <w:rFonts w:ascii="Century Gothic" w:hAnsi="Century Gothic"/>
          <w:sz w:val="20"/>
          <w:szCs w:val="20"/>
        </w:rPr>
        <w:br/>
      </w:r>
    </w:p>
    <w:p w14:paraId="6EA408E6" w14:textId="325E9FD5" w:rsidR="002C1CA8" w:rsidRPr="002C1CA8" w:rsidRDefault="004F7052" w:rsidP="00EB1D96">
      <w:pPr>
        <w:numPr>
          <w:ilvl w:val="0"/>
          <w:numId w:val="37"/>
        </w:numPr>
        <w:shd w:val="clear" w:color="auto" w:fill="FFFFFF"/>
        <w:spacing w:line="276" w:lineRule="auto"/>
        <w:ind w:left="426"/>
        <w:jc w:val="both"/>
        <w:rPr>
          <w:rFonts w:ascii="Century Gothic" w:hAnsi="Century Gothic"/>
          <w:sz w:val="20"/>
          <w:szCs w:val="20"/>
        </w:rPr>
      </w:pPr>
      <w:r w:rsidRPr="002C1CA8">
        <w:rPr>
          <w:rFonts w:ascii="Century Gothic" w:hAnsi="Century Gothic"/>
          <w:sz w:val="20"/>
          <w:szCs w:val="20"/>
          <w:u w:val="single"/>
        </w:rPr>
        <w:t>Ley 1761 de 2015</w:t>
      </w:r>
      <w:r w:rsidRPr="002C1CA8">
        <w:rPr>
          <w:rFonts w:ascii="Century Gothic" w:hAnsi="Century Gothic"/>
          <w:b/>
          <w:sz w:val="20"/>
          <w:szCs w:val="20"/>
        </w:rPr>
        <w:t>,</w:t>
      </w:r>
      <w:r w:rsidRPr="002C1CA8">
        <w:rPr>
          <w:rFonts w:ascii="Century Gothic" w:hAnsi="Century Gothic"/>
          <w:sz w:val="20"/>
          <w:szCs w:val="20"/>
        </w:rPr>
        <w:t xml:space="preserve"> “por la cual se crea el tipo penal de feminicidio como delito autónomo y se dictan otras disposiciones” (ley Rosa Elvira Cely)</w:t>
      </w:r>
      <w:r w:rsidR="002C1CA8" w:rsidRPr="002C1CA8">
        <w:rPr>
          <w:rFonts w:ascii="Century Gothic" w:hAnsi="Century Gothic"/>
          <w:sz w:val="20"/>
          <w:szCs w:val="20"/>
        </w:rPr>
        <w:tab/>
      </w:r>
      <w:r w:rsidR="002C1CA8" w:rsidRPr="002C1CA8">
        <w:rPr>
          <w:rFonts w:ascii="Century Gothic" w:hAnsi="Century Gothic"/>
          <w:sz w:val="20"/>
          <w:szCs w:val="20"/>
        </w:rPr>
        <w:br/>
      </w:r>
    </w:p>
    <w:p w14:paraId="74BC75A1" w14:textId="2711BD9D" w:rsidR="004F7052" w:rsidRPr="002C1CA8" w:rsidRDefault="004F7052" w:rsidP="00EB1D96">
      <w:pPr>
        <w:numPr>
          <w:ilvl w:val="0"/>
          <w:numId w:val="37"/>
        </w:numPr>
        <w:shd w:val="clear" w:color="auto" w:fill="FFFFFF"/>
        <w:spacing w:line="276" w:lineRule="auto"/>
        <w:ind w:left="426"/>
        <w:jc w:val="both"/>
        <w:rPr>
          <w:rFonts w:ascii="Century Gothic" w:hAnsi="Century Gothic"/>
          <w:sz w:val="20"/>
          <w:szCs w:val="20"/>
        </w:rPr>
      </w:pPr>
      <w:r w:rsidRPr="002C1CA8">
        <w:rPr>
          <w:rFonts w:ascii="Century Gothic" w:hAnsi="Century Gothic"/>
          <w:sz w:val="20"/>
          <w:szCs w:val="20"/>
          <w:u w:val="single"/>
        </w:rPr>
        <w:t>Ley 1773 de 2016,</w:t>
      </w:r>
      <w:r w:rsidRPr="002C1CA8">
        <w:rPr>
          <w:rFonts w:ascii="Century Gothic" w:hAnsi="Century Gothic"/>
          <w:sz w:val="20"/>
          <w:szCs w:val="20"/>
        </w:rPr>
        <w:t xml:space="preserve"> “por medio de la cual se crea el artículo 116A, se modifican los artículos 68A, 104, 113, 359 y 374 de la Ley 599 de 2000 y se modifica el artículo 351 de la Ley 906 de 2004”. (se crea un delito autónomo para las lesiones con ácido y otros agentes químicos)</w:t>
      </w:r>
      <w:r w:rsidR="002C1CA8" w:rsidRPr="002C1CA8">
        <w:rPr>
          <w:rFonts w:ascii="Century Gothic" w:hAnsi="Century Gothic"/>
          <w:sz w:val="20"/>
          <w:szCs w:val="20"/>
        </w:rPr>
        <w:tab/>
      </w:r>
      <w:r w:rsidR="002C1CA8" w:rsidRPr="002C1CA8">
        <w:rPr>
          <w:rFonts w:ascii="Century Gothic" w:hAnsi="Century Gothic"/>
          <w:sz w:val="20"/>
          <w:szCs w:val="20"/>
        </w:rPr>
        <w:br/>
      </w:r>
    </w:p>
    <w:p w14:paraId="7CF9891C" w14:textId="3C62C49C" w:rsidR="004F7052" w:rsidRPr="002C1CA8" w:rsidRDefault="004F7052" w:rsidP="00E10543">
      <w:pPr>
        <w:numPr>
          <w:ilvl w:val="0"/>
          <w:numId w:val="37"/>
        </w:numPr>
        <w:spacing w:line="276" w:lineRule="auto"/>
        <w:ind w:left="426"/>
        <w:jc w:val="both"/>
        <w:rPr>
          <w:rFonts w:ascii="Century Gothic" w:hAnsi="Century Gothic"/>
          <w:sz w:val="20"/>
          <w:szCs w:val="20"/>
        </w:rPr>
      </w:pPr>
      <w:r w:rsidRPr="002C1CA8">
        <w:rPr>
          <w:rFonts w:ascii="Century Gothic" w:hAnsi="Century Gothic"/>
          <w:sz w:val="20"/>
          <w:szCs w:val="20"/>
          <w:u w:val="single"/>
        </w:rPr>
        <w:t xml:space="preserve">Ley 2126 de 2022 </w:t>
      </w:r>
      <w:r w:rsidRPr="002C1CA8">
        <w:rPr>
          <w:rFonts w:ascii="Century Gothic" w:hAnsi="Century Gothic"/>
          <w:color w:val="333333"/>
          <w:sz w:val="20"/>
          <w:szCs w:val="20"/>
          <w:highlight w:val="white"/>
        </w:rPr>
        <w:t>“</w:t>
      </w:r>
      <w:r w:rsidRPr="002C1CA8">
        <w:rPr>
          <w:rFonts w:ascii="Century Gothic" w:hAnsi="Century Gothic"/>
          <w:sz w:val="20"/>
          <w:szCs w:val="20"/>
          <w:highlight w:val="white"/>
        </w:rPr>
        <w:t>Por la cual se regula la creación, conformación y funcionamiento de las comisarías de familia, se establece el órgano rector y se dictan otras disposiciones”</w:t>
      </w:r>
      <w:r w:rsidR="002C1CA8" w:rsidRPr="002C1CA8">
        <w:rPr>
          <w:rFonts w:ascii="Century Gothic" w:hAnsi="Century Gothic"/>
          <w:sz w:val="20"/>
          <w:szCs w:val="20"/>
        </w:rPr>
        <w:t>.</w:t>
      </w:r>
      <w:r w:rsidR="002C1CA8" w:rsidRPr="002C1CA8">
        <w:rPr>
          <w:rFonts w:ascii="Century Gothic" w:hAnsi="Century Gothic"/>
          <w:sz w:val="20"/>
          <w:szCs w:val="20"/>
        </w:rPr>
        <w:br/>
      </w:r>
    </w:p>
    <w:p w14:paraId="0C0DFF78" w14:textId="19820462" w:rsidR="004F7052" w:rsidRPr="002C1CA8" w:rsidRDefault="004F7052" w:rsidP="00E10543">
      <w:pPr>
        <w:numPr>
          <w:ilvl w:val="0"/>
          <w:numId w:val="37"/>
        </w:numPr>
        <w:spacing w:line="276" w:lineRule="auto"/>
        <w:ind w:left="426"/>
        <w:jc w:val="both"/>
        <w:rPr>
          <w:rFonts w:ascii="Century Gothic" w:hAnsi="Century Gothic"/>
          <w:color w:val="202124"/>
          <w:sz w:val="20"/>
          <w:szCs w:val="20"/>
          <w:highlight w:val="white"/>
        </w:rPr>
      </w:pPr>
      <w:r w:rsidRPr="002C1CA8">
        <w:rPr>
          <w:rFonts w:ascii="Century Gothic" w:hAnsi="Century Gothic"/>
          <w:color w:val="202124"/>
          <w:sz w:val="20"/>
          <w:szCs w:val="20"/>
          <w:highlight w:val="white"/>
          <w:u w:val="single"/>
        </w:rPr>
        <w:t>Ley 2137 de 2021 “</w:t>
      </w:r>
      <w:r w:rsidRPr="002C1CA8">
        <w:rPr>
          <w:rFonts w:ascii="Century Gothic" w:hAnsi="Century Gothic"/>
          <w:sz w:val="20"/>
          <w:szCs w:val="20"/>
          <w:highlight w:val="white"/>
        </w:rPr>
        <w:t xml:space="preserve">Por la cual se crea el Sistema Nacional de Alertas Tempranas para la Prevención de la Violencia Sexual contra los Niños, Niñas y Adolescentes, se modifica la Ley </w:t>
      </w:r>
      <w:hyperlink r:id="rId20" w:anchor="INICIO">
        <w:r w:rsidRPr="002C1CA8">
          <w:rPr>
            <w:rFonts w:ascii="Century Gothic" w:hAnsi="Century Gothic"/>
            <w:sz w:val="20"/>
            <w:szCs w:val="20"/>
            <w:highlight w:val="white"/>
          </w:rPr>
          <w:t>1146</w:t>
        </w:r>
      </w:hyperlink>
      <w:r w:rsidRPr="002C1CA8">
        <w:rPr>
          <w:rFonts w:ascii="Century Gothic" w:hAnsi="Century Gothic"/>
          <w:sz w:val="20"/>
          <w:szCs w:val="20"/>
          <w:highlight w:val="white"/>
        </w:rPr>
        <w:t xml:space="preserve"> de 2007 y se dictan otras disposiciones.”</w:t>
      </w:r>
      <w:r w:rsidR="002C1CA8" w:rsidRPr="002C1CA8">
        <w:rPr>
          <w:rFonts w:ascii="Century Gothic" w:hAnsi="Century Gothic"/>
          <w:sz w:val="20"/>
          <w:szCs w:val="20"/>
          <w:highlight w:val="white"/>
        </w:rPr>
        <w:tab/>
      </w:r>
      <w:r w:rsidR="002C1CA8" w:rsidRPr="002C1CA8">
        <w:rPr>
          <w:rFonts w:ascii="Century Gothic" w:hAnsi="Century Gothic"/>
          <w:sz w:val="20"/>
          <w:szCs w:val="20"/>
          <w:highlight w:val="white"/>
        </w:rPr>
        <w:br/>
      </w:r>
    </w:p>
    <w:p w14:paraId="100E61A8" w14:textId="77777777" w:rsidR="004F7052" w:rsidRPr="002C1CA8" w:rsidRDefault="004F7052" w:rsidP="00E10543">
      <w:pPr>
        <w:numPr>
          <w:ilvl w:val="0"/>
          <w:numId w:val="37"/>
        </w:numPr>
        <w:spacing w:line="276" w:lineRule="auto"/>
        <w:ind w:left="426"/>
        <w:jc w:val="both"/>
        <w:rPr>
          <w:rFonts w:ascii="Century Gothic" w:hAnsi="Century Gothic"/>
          <w:color w:val="202124"/>
          <w:sz w:val="20"/>
          <w:szCs w:val="20"/>
          <w:highlight w:val="white"/>
        </w:rPr>
      </w:pPr>
      <w:r w:rsidRPr="002C1CA8">
        <w:rPr>
          <w:rFonts w:ascii="Century Gothic" w:hAnsi="Century Gothic"/>
          <w:sz w:val="20"/>
          <w:szCs w:val="20"/>
          <w:u w:val="single"/>
        </w:rPr>
        <w:t xml:space="preserve">Ley 2229 de 2022 </w:t>
      </w:r>
      <w:r w:rsidRPr="002C1CA8">
        <w:rPr>
          <w:rFonts w:ascii="Century Gothic" w:hAnsi="Century Gothic"/>
          <w:sz w:val="20"/>
          <w:szCs w:val="20"/>
        </w:rPr>
        <w:t>“por medio de la cual se crea el régimen especial de visitas entre abuelos y nietos y se impide al victimario ser titular del derecho de visitas a su víctima y a los hermanos de esta.”</w:t>
      </w:r>
    </w:p>
    <w:p w14:paraId="12C53350" w14:textId="79989B6A" w:rsidR="004F7052" w:rsidRPr="00E10543" w:rsidRDefault="004F7052" w:rsidP="00E10543">
      <w:pPr>
        <w:spacing w:line="276" w:lineRule="auto"/>
        <w:ind w:left="426"/>
        <w:jc w:val="both"/>
        <w:rPr>
          <w:rFonts w:ascii="Century Gothic" w:hAnsi="Century Gothic"/>
          <w:i/>
          <w:sz w:val="20"/>
          <w:szCs w:val="20"/>
        </w:rPr>
      </w:pPr>
    </w:p>
    <w:p w14:paraId="016A1022" w14:textId="77777777" w:rsidR="004F7052" w:rsidRPr="00E10543" w:rsidRDefault="004F7052" w:rsidP="00E10543">
      <w:pPr>
        <w:numPr>
          <w:ilvl w:val="0"/>
          <w:numId w:val="31"/>
        </w:numPr>
        <w:shd w:val="clear" w:color="auto" w:fill="FFFFFF"/>
        <w:spacing w:before="240" w:line="276" w:lineRule="auto"/>
        <w:ind w:left="426"/>
        <w:jc w:val="both"/>
        <w:rPr>
          <w:rFonts w:ascii="Century Gothic" w:hAnsi="Century Gothic"/>
          <w:b/>
          <w:sz w:val="20"/>
          <w:szCs w:val="20"/>
        </w:rPr>
      </w:pPr>
      <w:r w:rsidRPr="00E10543">
        <w:rPr>
          <w:rFonts w:ascii="Century Gothic" w:hAnsi="Century Gothic"/>
          <w:b/>
          <w:sz w:val="20"/>
          <w:szCs w:val="20"/>
          <w:u w:val="single"/>
        </w:rPr>
        <w:t>Marco jurídico internacional</w:t>
      </w:r>
    </w:p>
    <w:p w14:paraId="5CF98A25" w14:textId="77777777" w:rsidR="004F7052" w:rsidRPr="00E10543" w:rsidRDefault="004F7052" w:rsidP="00E10543">
      <w:pPr>
        <w:widowControl w:val="0"/>
        <w:shd w:val="clear" w:color="auto" w:fill="FFFFFF"/>
        <w:spacing w:before="240" w:line="276" w:lineRule="auto"/>
        <w:ind w:left="426"/>
        <w:jc w:val="both"/>
        <w:rPr>
          <w:rFonts w:ascii="Century Gothic" w:hAnsi="Century Gothic"/>
          <w:sz w:val="20"/>
          <w:szCs w:val="20"/>
        </w:rPr>
      </w:pPr>
      <w:r w:rsidRPr="00E10543">
        <w:rPr>
          <w:rFonts w:ascii="Century Gothic" w:hAnsi="Century Gothic"/>
          <w:sz w:val="20"/>
          <w:szCs w:val="20"/>
        </w:rPr>
        <w:t>Colombia ha firmado y ratificado diferentes instrumentos en el plano internacional y regional que reconocen la violencia contra la mujer como una violación a los derechos humanos y a sus libertades fundamentales. De igual forma, los niños, niñas y adolescentes han sido protegidos de manera activa y especial a nivel internacional. Entre los Convenios y Tratados internacional se destacan los siguientes:</w:t>
      </w:r>
    </w:p>
    <w:p w14:paraId="23820852" w14:textId="2A19AD70" w:rsidR="00E10543" w:rsidRPr="00E10543" w:rsidRDefault="004F7052" w:rsidP="00E10543">
      <w:pPr>
        <w:widowControl w:val="0"/>
        <w:numPr>
          <w:ilvl w:val="0"/>
          <w:numId w:val="41"/>
        </w:numPr>
        <w:shd w:val="clear" w:color="auto" w:fill="FFFFFF"/>
        <w:spacing w:before="240" w:line="276" w:lineRule="auto"/>
        <w:ind w:left="426"/>
        <w:jc w:val="both"/>
        <w:rPr>
          <w:rFonts w:ascii="Century Gothic" w:hAnsi="Century Gothic"/>
          <w:sz w:val="20"/>
          <w:szCs w:val="20"/>
        </w:rPr>
      </w:pPr>
      <w:r w:rsidRPr="00E10543">
        <w:rPr>
          <w:rFonts w:ascii="Century Gothic" w:hAnsi="Century Gothic"/>
          <w:sz w:val="20"/>
          <w:szCs w:val="20"/>
        </w:rPr>
        <w:t xml:space="preserve">La </w:t>
      </w:r>
      <w:r w:rsidRPr="00E10543">
        <w:rPr>
          <w:rFonts w:ascii="Century Gothic" w:hAnsi="Century Gothic"/>
          <w:i/>
          <w:sz w:val="20"/>
          <w:szCs w:val="20"/>
        </w:rPr>
        <w:t>Convención sobre la Eliminación de todas las formas de Discriminación contra la Mujer, en adelante CEDAW por sus siglas en inglés</w:t>
      </w:r>
      <w:r w:rsidRPr="00E10543">
        <w:rPr>
          <w:rFonts w:ascii="Century Gothic" w:hAnsi="Century Gothic"/>
          <w:sz w:val="20"/>
          <w:szCs w:val="20"/>
        </w:rPr>
        <w:t>, adoptad</w:t>
      </w:r>
      <w:r w:rsidR="002C1CA8">
        <w:rPr>
          <w:rFonts w:ascii="Century Gothic" w:hAnsi="Century Gothic"/>
          <w:sz w:val="20"/>
          <w:szCs w:val="20"/>
        </w:rPr>
        <w:t xml:space="preserve">a por la Asamblea General </w:t>
      </w:r>
      <w:r w:rsidRPr="00E10543">
        <w:rPr>
          <w:rFonts w:ascii="Century Gothic" w:hAnsi="Century Gothic"/>
          <w:sz w:val="20"/>
          <w:szCs w:val="20"/>
        </w:rPr>
        <w:t xml:space="preserve">de la ONU el 18 de diciembre de 1979 y el Protocolo Facultativo de la Convención sobe Eliminación de Todas las Formas de Discriminación contra la Mujer, Nueva York, 6 de octubre de 1999. (en el cual Colombia reconoce la competencia del Comité para la Eliminación de la Discriminación contra la Mujer) </w:t>
      </w:r>
    </w:p>
    <w:p w14:paraId="5C1DD798" w14:textId="15DEE849" w:rsidR="004F7052" w:rsidRPr="00E10543" w:rsidRDefault="004F7052" w:rsidP="00E10543">
      <w:pPr>
        <w:widowControl w:val="0"/>
        <w:shd w:val="clear" w:color="auto" w:fill="FFFFFF"/>
        <w:spacing w:before="240" w:line="276" w:lineRule="auto"/>
        <w:ind w:left="426"/>
        <w:jc w:val="both"/>
        <w:rPr>
          <w:rFonts w:ascii="Century Gothic" w:hAnsi="Century Gothic"/>
          <w:sz w:val="20"/>
          <w:szCs w:val="20"/>
        </w:rPr>
      </w:pPr>
      <w:r w:rsidRPr="00E10543">
        <w:rPr>
          <w:rFonts w:ascii="Century Gothic" w:hAnsi="Century Gothic"/>
          <w:sz w:val="20"/>
          <w:szCs w:val="20"/>
        </w:rPr>
        <w:lastRenderedPageBreak/>
        <w:t xml:space="preserve">Estos dos instrumentos reconocen que la violencia de género </w:t>
      </w:r>
      <w:r w:rsidRPr="00E10543">
        <w:rPr>
          <w:rFonts w:ascii="Century Gothic" w:hAnsi="Century Gothic"/>
          <w:i/>
          <w:sz w:val="20"/>
          <w:szCs w:val="20"/>
        </w:rPr>
        <w:t>“es una forma de discriminación que inhibe gravemente la capacidad de la mujer de gozar de derechos y libertades en pie de igualdad con el hombre”</w:t>
      </w:r>
      <w:r w:rsidRPr="00E10543">
        <w:rPr>
          <w:rFonts w:ascii="Century Gothic" w:hAnsi="Century Gothic"/>
          <w:sz w:val="20"/>
          <w:szCs w:val="20"/>
        </w:rPr>
        <w:t xml:space="preserve"> y contemplan una serie de medidas que los Estados Parte deben adoptar con el fin de condenar y eliminar la discriminación contra la mujer en esferas tan variadas como la educación, la vida política, la nacionalidad, el empleo, entre otras. así mismo, condenan la discriminación contra la mujer en todas sus formas y convienen seguir, por todos los medios apropiados y sin dilaciones, una política encaminada a eliminarla, incluyendo medidas legislativas, educativas y políticas transitorias de diferenciación positiva.</w:t>
      </w:r>
    </w:p>
    <w:p w14:paraId="7FE4C33F" w14:textId="67651DA9" w:rsidR="004F7052" w:rsidRPr="00E10543" w:rsidRDefault="004F7052" w:rsidP="00E10543">
      <w:pPr>
        <w:widowControl w:val="0"/>
        <w:numPr>
          <w:ilvl w:val="0"/>
          <w:numId w:val="41"/>
        </w:numPr>
        <w:shd w:val="clear" w:color="auto" w:fill="FFFFFF"/>
        <w:spacing w:before="240" w:line="276" w:lineRule="auto"/>
        <w:ind w:left="426"/>
        <w:jc w:val="both"/>
        <w:rPr>
          <w:rFonts w:ascii="Century Gothic" w:hAnsi="Century Gothic"/>
          <w:sz w:val="20"/>
          <w:szCs w:val="20"/>
        </w:rPr>
      </w:pPr>
      <w:r w:rsidRPr="00E10543">
        <w:rPr>
          <w:rFonts w:ascii="Century Gothic" w:hAnsi="Century Gothic"/>
          <w:sz w:val="20"/>
          <w:szCs w:val="20"/>
        </w:rPr>
        <w:t xml:space="preserve">La </w:t>
      </w:r>
      <w:r w:rsidRPr="00E10543">
        <w:rPr>
          <w:rFonts w:ascii="Century Gothic" w:hAnsi="Century Gothic"/>
          <w:i/>
          <w:sz w:val="20"/>
          <w:szCs w:val="20"/>
        </w:rPr>
        <w:t xml:space="preserve">Declaración sobre la Eliminación de la Violencia contra la Mujer </w:t>
      </w:r>
      <w:r w:rsidRPr="00E10543">
        <w:rPr>
          <w:rFonts w:ascii="Century Gothic" w:hAnsi="Century Gothic"/>
          <w:sz w:val="20"/>
          <w:szCs w:val="20"/>
        </w:rPr>
        <w:t>(1993), complemento de la</w:t>
      </w:r>
      <w:r w:rsidRPr="00E10543">
        <w:rPr>
          <w:rFonts w:ascii="Century Gothic" w:hAnsi="Century Gothic"/>
          <w:b/>
          <w:sz w:val="20"/>
          <w:szCs w:val="20"/>
        </w:rPr>
        <w:t xml:space="preserve"> </w:t>
      </w:r>
      <w:r w:rsidRPr="00E10543">
        <w:rPr>
          <w:rFonts w:ascii="Century Gothic" w:hAnsi="Century Gothic"/>
          <w:sz w:val="20"/>
          <w:szCs w:val="20"/>
        </w:rPr>
        <w:t xml:space="preserve">CEDAW fue el primer instrumento a nivel internacional que abordó de forma explícita la violencia contra la mujer y reconociendo que no es un asunto del ámbito privado. Además, define la violencia contra la mujer como </w:t>
      </w:r>
      <w:r w:rsidRPr="00E10543">
        <w:rPr>
          <w:rFonts w:ascii="Century Gothic" w:hAnsi="Century Gothic"/>
          <w:i/>
          <w:sz w:val="20"/>
          <w:szCs w:val="20"/>
        </w:rPr>
        <w:t>“todo acto de violencia basado en la pertenencia al sexo femenino que tenga o pueda tener como resultado un daño o sufrimiento físico, sexual o sicológico para la mujer, así como las amenazas de tales actos, la coacción o la privación arbitraria de la libertad, tanto si se producen en la vida pública como en la vida privada”</w:t>
      </w:r>
      <w:r w:rsidRPr="00E10543">
        <w:rPr>
          <w:rFonts w:ascii="Century Gothic" w:hAnsi="Century Gothic"/>
          <w:sz w:val="20"/>
          <w:szCs w:val="20"/>
        </w:rPr>
        <w:t>.</w:t>
      </w:r>
      <w:r w:rsidR="002C1CA8">
        <w:rPr>
          <w:rFonts w:ascii="Century Gothic" w:hAnsi="Century Gothic"/>
          <w:sz w:val="20"/>
          <w:szCs w:val="20"/>
        </w:rPr>
        <w:tab/>
      </w:r>
      <w:r w:rsidR="002C1CA8">
        <w:rPr>
          <w:rFonts w:ascii="Century Gothic" w:hAnsi="Century Gothic"/>
          <w:sz w:val="20"/>
          <w:szCs w:val="20"/>
        </w:rPr>
        <w:br/>
      </w:r>
    </w:p>
    <w:p w14:paraId="11BD2338" w14:textId="77777777" w:rsidR="00E10543" w:rsidRPr="00E10543" w:rsidRDefault="004F7052" w:rsidP="00E10543">
      <w:pPr>
        <w:widowControl w:val="0"/>
        <w:numPr>
          <w:ilvl w:val="0"/>
          <w:numId w:val="41"/>
        </w:numPr>
        <w:spacing w:line="276" w:lineRule="auto"/>
        <w:ind w:left="426"/>
        <w:jc w:val="both"/>
        <w:rPr>
          <w:rFonts w:ascii="Century Gothic" w:hAnsi="Century Gothic"/>
          <w:sz w:val="20"/>
          <w:szCs w:val="20"/>
        </w:rPr>
      </w:pPr>
      <w:r w:rsidRPr="00E10543">
        <w:rPr>
          <w:rFonts w:ascii="Century Gothic" w:hAnsi="Century Gothic"/>
          <w:sz w:val="20"/>
          <w:szCs w:val="20"/>
        </w:rPr>
        <w:t xml:space="preserve">A nivel regional se destacan:  la </w:t>
      </w:r>
      <w:r w:rsidRPr="00E10543">
        <w:rPr>
          <w:rFonts w:ascii="Century Gothic" w:hAnsi="Century Gothic"/>
          <w:i/>
          <w:sz w:val="20"/>
          <w:szCs w:val="20"/>
        </w:rPr>
        <w:t>Convención Americana sobre Derechos Humanos</w:t>
      </w:r>
      <w:r w:rsidRPr="00E10543">
        <w:rPr>
          <w:rFonts w:ascii="Century Gothic" w:hAnsi="Century Gothic"/>
          <w:sz w:val="20"/>
          <w:szCs w:val="20"/>
        </w:rPr>
        <w:t xml:space="preserve">, adoptada el 22 de noviembre de 1969, y la </w:t>
      </w:r>
      <w:r w:rsidRPr="00E10543">
        <w:rPr>
          <w:rFonts w:ascii="Century Gothic" w:hAnsi="Century Gothic"/>
          <w:i/>
          <w:sz w:val="20"/>
          <w:szCs w:val="20"/>
        </w:rPr>
        <w:t>Convención Interamericana para Prevenir, Sancionar y Erradicar la Violencia Contra la Mujer, “Convención de Belém do Pará”</w:t>
      </w:r>
      <w:r w:rsidRPr="00E10543">
        <w:rPr>
          <w:rFonts w:ascii="Century Gothic" w:hAnsi="Century Gothic"/>
          <w:sz w:val="20"/>
          <w:szCs w:val="20"/>
        </w:rPr>
        <w:t>, adoptada el 9 de junio de 1994. Este último Convenio tiene por objeto específico erradicar toda forma de agresión física, sexual y psicológica contra la mujer, es decir, no solo aquella que ocurre en la esfera pública sino incluso en la privada y doméstica. Bajo el anterior entendido, este tratado define la violencia contra las mujeres, establece su derecho a vivir una vida libre de violencia y destaca a esa violencia como una violación de los derechos y las libertades fundamentales.</w:t>
      </w:r>
    </w:p>
    <w:p w14:paraId="2DB68102" w14:textId="77777777" w:rsidR="00E10543" w:rsidRPr="00E10543" w:rsidRDefault="00E10543" w:rsidP="00E10543">
      <w:pPr>
        <w:pStyle w:val="Prrafodelista"/>
        <w:spacing w:line="276" w:lineRule="auto"/>
        <w:ind w:left="426"/>
        <w:rPr>
          <w:rFonts w:ascii="Century Gothic" w:hAnsi="Century Gothic"/>
          <w:sz w:val="20"/>
          <w:szCs w:val="20"/>
        </w:rPr>
      </w:pPr>
    </w:p>
    <w:p w14:paraId="5BF97726" w14:textId="14B22835"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Es importante resaltar que en el artículo 7º del Convenio se consagran los compromisos que adquieren los Estados al vincularse. Entre los que se destacan </w:t>
      </w:r>
      <w:r w:rsidRPr="00E10543">
        <w:rPr>
          <w:rFonts w:ascii="Century Gothic" w:hAnsi="Century Gothic"/>
          <w:i/>
          <w:sz w:val="20"/>
          <w:szCs w:val="20"/>
        </w:rPr>
        <w:t>(i) incluir en su legislación interna normas penales, civiles y administrativas, así como las de otra naturaleza que sean necesarias para prevenir, sancionar y erradicar la violencia contra la mujer; (ii) adoptar medidas jurídicas para conminar al agresor a abstenerse de hostigar, intimidar, amenazar, dañar o poner en peligro la vida de la mujer; (iii) modificar o abolir leyes y reglamentos vigentes, prácticas jurídicas o consuetudinarias que respalden la persistencia o la tolerancia a la violencia contra la mujer; (iv) establecer procedimientos legales justos y eficaces para la mujer que haya sido sometida a violencia, que incluyan, entre otras medidas de protección, un juicio oportuno y el acceso efectivo a tales procedimientos y (v) establecer mecanismos judiciales y administrativos que garanticen el acceso efectivo a medidas de reparación del daño u otros medios de compensación.</w:t>
      </w:r>
    </w:p>
    <w:p w14:paraId="0C5CCA65" w14:textId="77777777" w:rsidR="004F7052" w:rsidRPr="00E10543" w:rsidRDefault="004F7052" w:rsidP="00E10543">
      <w:pPr>
        <w:widowControl w:val="0"/>
        <w:spacing w:line="276" w:lineRule="auto"/>
        <w:ind w:left="426"/>
        <w:jc w:val="both"/>
        <w:rPr>
          <w:rFonts w:ascii="Century Gothic" w:hAnsi="Century Gothic"/>
          <w:sz w:val="20"/>
          <w:szCs w:val="20"/>
        </w:rPr>
      </w:pPr>
    </w:p>
    <w:p w14:paraId="5ECD3325" w14:textId="42BA7F2C" w:rsidR="004F7052" w:rsidRPr="00E10543" w:rsidRDefault="004F7052" w:rsidP="00E10543">
      <w:pPr>
        <w:widowControl w:val="0"/>
        <w:numPr>
          <w:ilvl w:val="0"/>
          <w:numId w:val="41"/>
        </w:numPr>
        <w:spacing w:line="276" w:lineRule="auto"/>
        <w:ind w:left="426"/>
        <w:jc w:val="both"/>
        <w:rPr>
          <w:rFonts w:ascii="Century Gothic" w:hAnsi="Century Gothic"/>
          <w:sz w:val="20"/>
          <w:szCs w:val="20"/>
        </w:rPr>
      </w:pPr>
      <w:r w:rsidRPr="00E10543">
        <w:rPr>
          <w:rFonts w:ascii="Century Gothic" w:hAnsi="Century Gothic"/>
          <w:sz w:val="20"/>
          <w:szCs w:val="20"/>
        </w:rPr>
        <w:t xml:space="preserve">La Convención sobre los Derechos de los Niños y de las Niñas, adoptada por la Asamblea General de las Naciones Unidas el 20 de noviembre de 1989 y aprobada por el Congreso de la República mediante Ley 12 de 1991. Este tratado internacional reconoce los derechos de los niños y niñas, y entiende como tales a quienes tengan menos de 18 años de </w:t>
      </w:r>
      <w:r w:rsidR="0055594B" w:rsidRPr="00E10543">
        <w:rPr>
          <w:rFonts w:ascii="Century Gothic" w:hAnsi="Century Gothic"/>
          <w:sz w:val="20"/>
          <w:szCs w:val="20"/>
        </w:rPr>
        <w:t>edad.</w:t>
      </w:r>
      <w:r w:rsidRPr="00E10543">
        <w:rPr>
          <w:rFonts w:ascii="Century Gothic" w:hAnsi="Century Gothic"/>
          <w:sz w:val="20"/>
          <w:szCs w:val="20"/>
        </w:rPr>
        <w:t xml:space="preserve"> Entre los compromisos que adquieren los Estados para su protección, está la garantía del desarrollo pleno de su personalidad, acceso a la educación, a crecer en un ambiente sano, entre otros. Lo anterior, dado que son las condiciones necesarias para el desarrollo pleno, libre y autónomo de los niños. </w:t>
      </w:r>
    </w:p>
    <w:p w14:paraId="013003F6" w14:textId="77777777" w:rsidR="004F7052" w:rsidRPr="00E10543" w:rsidRDefault="004F7052" w:rsidP="00E10543">
      <w:pPr>
        <w:widowControl w:val="0"/>
        <w:spacing w:line="276" w:lineRule="auto"/>
        <w:ind w:left="426"/>
        <w:jc w:val="both"/>
        <w:rPr>
          <w:rFonts w:ascii="Century Gothic" w:hAnsi="Century Gothic"/>
          <w:sz w:val="20"/>
          <w:szCs w:val="20"/>
        </w:rPr>
      </w:pPr>
    </w:p>
    <w:p w14:paraId="2A14AEF6" w14:textId="2A2E662C" w:rsidR="004F7052" w:rsidRPr="00E10543" w:rsidRDefault="004F7052" w:rsidP="00E10543">
      <w:pPr>
        <w:widowControl w:val="0"/>
        <w:spacing w:line="276" w:lineRule="auto"/>
        <w:ind w:left="426"/>
        <w:jc w:val="both"/>
        <w:rPr>
          <w:rFonts w:ascii="Century Gothic" w:hAnsi="Century Gothic"/>
          <w:sz w:val="20"/>
          <w:szCs w:val="20"/>
        </w:rPr>
      </w:pPr>
      <w:r w:rsidRPr="00E10543">
        <w:rPr>
          <w:rFonts w:ascii="Century Gothic" w:hAnsi="Century Gothic"/>
          <w:sz w:val="20"/>
          <w:szCs w:val="20"/>
        </w:rPr>
        <w:t xml:space="preserve">Otros de los tratados internacionales destacados en el ámbito de protección a las mujeres y niños, niñas y adolescentes </w:t>
      </w:r>
      <w:r w:rsidR="0055594B" w:rsidRPr="00E10543">
        <w:rPr>
          <w:rFonts w:ascii="Century Gothic" w:hAnsi="Century Gothic"/>
          <w:sz w:val="20"/>
          <w:szCs w:val="20"/>
        </w:rPr>
        <w:t>son:</w:t>
      </w:r>
    </w:p>
    <w:p w14:paraId="7688EEDA" w14:textId="77777777" w:rsidR="004F7052" w:rsidRPr="00E10543" w:rsidRDefault="004F7052" w:rsidP="00E10543">
      <w:pPr>
        <w:spacing w:line="276" w:lineRule="auto"/>
        <w:ind w:left="426"/>
        <w:jc w:val="both"/>
        <w:rPr>
          <w:rFonts w:ascii="Century Gothic" w:hAnsi="Century Gothic"/>
          <w:sz w:val="20"/>
          <w:szCs w:val="20"/>
        </w:rPr>
      </w:pPr>
    </w:p>
    <w:p w14:paraId="7E402494" w14:textId="122D5371" w:rsidR="004F7052" w:rsidRPr="00E10543" w:rsidRDefault="004F7052" w:rsidP="00E10543">
      <w:pPr>
        <w:numPr>
          <w:ilvl w:val="0"/>
          <w:numId w:val="41"/>
        </w:numPr>
        <w:spacing w:line="276" w:lineRule="auto"/>
        <w:ind w:left="426"/>
        <w:jc w:val="both"/>
        <w:rPr>
          <w:rFonts w:ascii="Century Gothic" w:hAnsi="Century Gothic"/>
          <w:sz w:val="20"/>
          <w:szCs w:val="20"/>
        </w:rPr>
      </w:pPr>
      <w:r w:rsidRPr="00E10543">
        <w:rPr>
          <w:rFonts w:ascii="Century Gothic" w:hAnsi="Century Gothic"/>
          <w:sz w:val="20"/>
          <w:szCs w:val="20"/>
        </w:rPr>
        <w:lastRenderedPageBreak/>
        <w:t xml:space="preserve">Declaración Americana de Derechos y Deberes del Hombre, proclamada en Bogotá en abril de 1948. </w:t>
      </w:r>
      <w:r w:rsidR="0055594B">
        <w:rPr>
          <w:rFonts w:ascii="Century Gothic" w:hAnsi="Century Gothic"/>
          <w:sz w:val="20"/>
          <w:szCs w:val="20"/>
        </w:rPr>
        <w:tab/>
      </w:r>
      <w:r w:rsidR="0055594B">
        <w:rPr>
          <w:rFonts w:ascii="Century Gothic" w:hAnsi="Century Gothic"/>
          <w:sz w:val="20"/>
          <w:szCs w:val="20"/>
        </w:rPr>
        <w:br/>
      </w:r>
    </w:p>
    <w:p w14:paraId="7DC84244" w14:textId="02EE9FA9" w:rsidR="004F7052" w:rsidRPr="00E10543" w:rsidRDefault="004F7052" w:rsidP="00E10543">
      <w:pPr>
        <w:numPr>
          <w:ilvl w:val="0"/>
          <w:numId w:val="41"/>
        </w:numPr>
        <w:spacing w:line="276" w:lineRule="auto"/>
        <w:ind w:left="426"/>
        <w:jc w:val="both"/>
        <w:rPr>
          <w:rFonts w:ascii="Century Gothic" w:hAnsi="Century Gothic"/>
          <w:sz w:val="20"/>
          <w:szCs w:val="20"/>
        </w:rPr>
      </w:pPr>
      <w:r w:rsidRPr="00E10543">
        <w:rPr>
          <w:rFonts w:ascii="Century Gothic" w:hAnsi="Century Gothic"/>
          <w:sz w:val="20"/>
          <w:szCs w:val="20"/>
        </w:rPr>
        <w:t xml:space="preserve">Declaración Universal de los Derechos Humanos, de fecha 10 de diciembre de 1984, proclamada por la Asamblea General de las Naciones Unidas. </w:t>
      </w:r>
      <w:r w:rsidR="0055594B">
        <w:rPr>
          <w:rFonts w:ascii="Century Gothic" w:hAnsi="Century Gothic"/>
          <w:sz w:val="20"/>
          <w:szCs w:val="20"/>
        </w:rPr>
        <w:tab/>
      </w:r>
      <w:r w:rsidR="0055594B">
        <w:rPr>
          <w:rFonts w:ascii="Century Gothic" w:hAnsi="Century Gothic"/>
          <w:sz w:val="20"/>
          <w:szCs w:val="20"/>
        </w:rPr>
        <w:br/>
      </w:r>
    </w:p>
    <w:p w14:paraId="06A31854" w14:textId="708DDD59" w:rsidR="004F7052" w:rsidRPr="00E10543" w:rsidRDefault="004F7052" w:rsidP="00E10543">
      <w:pPr>
        <w:numPr>
          <w:ilvl w:val="0"/>
          <w:numId w:val="41"/>
        </w:numPr>
        <w:spacing w:line="276" w:lineRule="auto"/>
        <w:ind w:left="426"/>
        <w:jc w:val="both"/>
        <w:rPr>
          <w:rFonts w:ascii="Century Gothic" w:hAnsi="Century Gothic"/>
          <w:sz w:val="20"/>
          <w:szCs w:val="20"/>
        </w:rPr>
      </w:pPr>
      <w:r w:rsidRPr="00E10543">
        <w:rPr>
          <w:rFonts w:ascii="Century Gothic" w:hAnsi="Century Gothic"/>
          <w:sz w:val="20"/>
          <w:szCs w:val="20"/>
        </w:rPr>
        <w:t>Pacto Internacional de Derechos Civiles y Políticos (PIDCP- 1976)</w:t>
      </w:r>
      <w:r w:rsidR="0055594B">
        <w:rPr>
          <w:rFonts w:ascii="Century Gothic" w:hAnsi="Century Gothic"/>
          <w:sz w:val="20"/>
          <w:szCs w:val="20"/>
        </w:rPr>
        <w:t>.</w:t>
      </w:r>
      <w:r w:rsidR="00EA6409">
        <w:rPr>
          <w:rFonts w:ascii="Century Gothic" w:hAnsi="Century Gothic"/>
          <w:sz w:val="20"/>
          <w:szCs w:val="20"/>
        </w:rPr>
        <w:tab/>
      </w:r>
      <w:r w:rsidR="0055594B">
        <w:rPr>
          <w:rFonts w:ascii="Century Gothic" w:hAnsi="Century Gothic"/>
          <w:sz w:val="20"/>
          <w:szCs w:val="20"/>
        </w:rPr>
        <w:br/>
      </w:r>
    </w:p>
    <w:p w14:paraId="39E8F81A" w14:textId="297D2C5A" w:rsidR="004F7052" w:rsidRPr="00E10543" w:rsidRDefault="004F7052" w:rsidP="00E10543">
      <w:pPr>
        <w:numPr>
          <w:ilvl w:val="0"/>
          <w:numId w:val="41"/>
        </w:numPr>
        <w:spacing w:line="276" w:lineRule="auto"/>
        <w:ind w:left="426"/>
        <w:jc w:val="both"/>
        <w:rPr>
          <w:rFonts w:ascii="Century Gothic" w:hAnsi="Century Gothic"/>
          <w:sz w:val="20"/>
          <w:szCs w:val="20"/>
        </w:rPr>
      </w:pPr>
      <w:r w:rsidRPr="00E10543">
        <w:rPr>
          <w:rFonts w:ascii="Century Gothic" w:hAnsi="Century Gothic"/>
          <w:sz w:val="20"/>
          <w:szCs w:val="20"/>
        </w:rPr>
        <w:t>Pacto Internacional de Derechos Económicos, Sociales y Culturales (PIDESC- 1966)</w:t>
      </w:r>
      <w:r w:rsidR="0055594B">
        <w:rPr>
          <w:rFonts w:ascii="Century Gothic" w:hAnsi="Century Gothic"/>
          <w:sz w:val="20"/>
          <w:szCs w:val="20"/>
        </w:rPr>
        <w:t>.</w:t>
      </w:r>
      <w:r w:rsidR="00EA6409">
        <w:rPr>
          <w:rFonts w:ascii="Century Gothic" w:hAnsi="Century Gothic"/>
          <w:sz w:val="20"/>
          <w:szCs w:val="20"/>
        </w:rPr>
        <w:tab/>
      </w:r>
      <w:r w:rsidR="0055594B">
        <w:rPr>
          <w:rFonts w:ascii="Century Gothic" w:hAnsi="Century Gothic"/>
          <w:sz w:val="20"/>
          <w:szCs w:val="20"/>
        </w:rPr>
        <w:br/>
      </w:r>
    </w:p>
    <w:p w14:paraId="6A7309BC" w14:textId="5A3C4A9F" w:rsidR="004F7052" w:rsidRPr="00E10543" w:rsidRDefault="004F7052" w:rsidP="00E10543">
      <w:pPr>
        <w:numPr>
          <w:ilvl w:val="0"/>
          <w:numId w:val="41"/>
        </w:numPr>
        <w:spacing w:line="276" w:lineRule="auto"/>
        <w:ind w:left="426"/>
        <w:jc w:val="both"/>
        <w:rPr>
          <w:rFonts w:ascii="Century Gothic" w:hAnsi="Century Gothic"/>
          <w:color w:val="202124"/>
          <w:sz w:val="20"/>
          <w:szCs w:val="20"/>
          <w:highlight w:val="white"/>
        </w:rPr>
      </w:pPr>
      <w:r w:rsidRPr="00E10543">
        <w:rPr>
          <w:rFonts w:ascii="Century Gothic" w:hAnsi="Century Gothic"/>
          <w:color w:val="202124"/>
          <w:sz w:val="20"/>
          <w:szCs w:val="20"/>
          <w:highlight w:val="white"/>
        </w:rPr>
        <w:t>Convención Americana sobre Derechos Humanos: Pacto de San José de Costa Rica (1969)</w:t>
      </w:r>
      <w:r w:rsidR="0055594B">
        <w:rPr>
          <w:rFonts w:ascii="Century Gothic" w:hAnsi="Century Gothic"/>
          <w:color w:val="202124"/>
          <w:sz w:val="20"/>
          <w:szCs w:val="20"/>
          <w:highlight w:val="white"/>
        </w:rPr>
        <w:t>.</w:t>
      </w:r>
      <w:r w:rsidR="0055594B">
        <w:rPr>
          <w:rFonts w:ascii="Century Gothic" w:hAnsi="Century Gothic"/>
          <w:color w:val="202124"/>
          <w:sz w:val="20"/>
          <w:szCs w:val="20"/>
          <w:highlight w:val="white"/>
        </w:rPr>
        <w:br/>
      </w:r>
    </w:p>
    <w:p w14:paraId="5A495ACB" w14:textId="77777777" w:rsidR="004F7052" w:rsidRPr="00E10543" w:rsidRDefault="004F7052" w:rsidP="00E10543">
      <w:pPr>
        <w:numPr>
          <w:ilvl w:val="0"/>
          <w:numId w:val="41"/>
        </w:numPr>
        <w:spacing w:line="276" w:lineRule="auto"/>
        <w:ind w:left="426"/>
        <w:jc w:val="both"/>
        <w:rPr>
          <w:rFonts w:ascii="Century Gothic" w:hAnsi="Century Gothic"/>
          <w:color w:val="202124"/>
          <w:sz w:val="20"/>
          <w:szCs w:val="20"/>
          <w:highlight w:val="white"/>
        </w:rPr>
      </w:pPr>
      <w:r w:rsidRPr="00E10543">
        <w:rPr>
          <w:rFonts w:ascii="Century Gothic" w:hAnsi="Century Gothic"/>
          <w:color w:val="202124"/>
          <w:sz w:val="20"/>
          <w:szCs w:val="20"/>
          <w:highlight w:val="white"/>
        </w:rPr>
        <w:t xml:space="preserve">Colombia también se encuentra impulsando la Agenda 2030 de la Organización de Naciones Unidas, en especial el objetivo 5 de los ODS: </w:t>
      </w:r>
      <w:r w:rsidRPr="00E10543">
        <w:rPr>
          <w:rFonts w:ascii="Century Gothic" w:hAnsi="Century Gothic"/>
          <w:i/>
          <w:sz w:val="20"/>
          <w:szCs w:val="20"/>
          <w:highlight w:val="white"/>
        </w:rPr>
        <w:t xml:space="preserve">Lograr la igualdad entre los géneros y empoderar a todas las mujeres y las niñas </w:t>
      </w:r>
      <w:r w:rsidRPr="00E10543">
        <w:rPr>
          <w:rFonts w:ascii="Century Gothic" w:hAnsi="Century Gothic"/>
          <w:sz w:val="20"/>
          <w:szCs w:val="20"/>
          <w:highlight w:val="white"/>
        </w:rPr>
        <w:t xml:space="preserve">y entre las metas que se han definido se encuentra: </w:t>
      </w:r>
      <w:r w:rsidRPr="00E10543">
        <w:rPr>
          <w:rFonts w:ascii="Century Gothic" w:hAnsi="Century Gothic"/>
          <w:i/>
          <w:sz w:val="20"/>
          <w:szCs w:val="20"/>
          <w:highlight w:val="white"/>
        </w:rPr>
        <w:t>Eliminar todas las formas de violencia contra todas las mujeres y las niñas en los ámbitos público y privado, incluidas la trata y la explotación sexual y otros tipos de explotación.</w:t>
      </w:r>
    </w:p>
    <w:p w14:paraId="4B2D145B" w14:textId="77777777" w:rsidR="004F7052" w:rsidRPr="00E10543" w:rsidRDefault="004F7052" w:rsidP="00E10543">
      <w:pPr>
        <w:spacing w:line="276" w:lineRule="auto"/>
        <w:ind w:left="426"/>
        <w:jc w:val="both"/>
        <w:rPr>
          <w:rFonts w:ascii="Century Gothic" w:hAnsi="Century Gothic"/>
          <w:sz w:val="20"/>
          <w:szCs w:val="20"/>
        </w:rPr>
      </w:pPr>
    </w:p>
    <w:p w14:paraId="2F1E7E59" w14:textId="7D1A6E5D" w:rsidR="00E56BBC" w:rsidRPr="00E10543" w:rsidRDefault="00EA2C95" w:rsidP="00E10543">
      <w:pPr>
        <w:pStyle w:val="Prrafodelista"/>
        <w:numPr>
          <w:ilvl w:val="0"/>
          <w:numId w:val="11"/>
        </w:numPr>
        <w:pBdr>
          <w:top w:val="nil"/>
          <w:left w:val="nil"/>
          <w:bottom w:val="nil"/>
          <w:right w:val="nil"/>
          <w:between w:val="nil"/>
        </w:pBdr>
        <w:spacing w:line="276" w:lineRule="auto"/>
        <w:ind w:left="426"/>
        <w:rPr>
          <w:rFonts w:ascii="Century Gothic" w:eastAsia="Bookman Old Style" w:hAnsi="Century Gothic" w:cs="Bookman Old Style"/>
          <w:b/>
          <w:color w:val="000000"/>
          <w:sz w:val="20"/>
          <w:szCs w:val="20"/>
        </w:rPr>
      </w:pPr>
      <w:r w:rsidRPr="00E10543">
        <w:rPr>
          <w:rFonts w:ascii="Century Gothic" w:eastAsia="Bookman Old Style" w:hAnsi="Century Gothic" w:cs="Bookman Old Style"/>
          <w:b/>
          <w:color w:val="000000"/>
          <w:sz w:val="20"/>
          <w:szCs w:val="20"/>
        </w:rPr>
        <w:t>CONFLICTO DE INTERÉS</w:t>
      </w:r>
      <w:r w:rsidR="00E56BBC" w:rsidRPr="00E10543">
        <w:rPr>
          <w:rFonts w:ascii="Century Gothic" w:eastAsia="Bookman Old Style" w:hAnsi="Century Gothic" w:cs="Bookman Old Style"/>
          <w:b/>
          <w:color w:val="000000"/>
          <w:sz w:val="20"/>
          <w:szCs w:val="20"/>
        </w:rPr>
        <w:t>.</w:t>
      </w:r>
    </w:p>
    <w:p w14:paraId="67C3E8C5" w14:textId="77777777" w:rsidR="00756FAE" w:rsidRPr="00E10543" w:rsidRDefault="00756FAE" w:rsidP="00E10543">
      <w:pPr>
        <w:pBdr>
          <w:top w:val="nil"/>
          <w:left w:val="nil"/>
          <w:bottom w:val="nil"/>
          <w:right w:val="nil"/>
          <w:between w:val="nil"/>
        </w:pBdr>
        <w:spacing w:line="276" w:lineRule="auto"/>
        <w:ind w:left="426"/>
        <w:jc w:val="both"/>
        <w:rPr>
          <w:rFonts w:ascii="Century Gothic" w:eastAsia="Bookman Old Style" w:hAnsi="Century Gothic" w:cs="Bookman Old Style"/>
          <w:color w:val="000000"/>
          <w:sz w:val="20"/>
          <w:szCs w:val="20"/>
        </w:rPr>
      </w:pPr>
    </w:p>
    <w:p w14:paraId="61C5B33E" w14:textId="77777777" w:rsidR="00756FAE" w:rsidRPr="00E10543" w:rsidRDefault="00EA2C95" w:rsidP="00E10543">
      <w:pPr>
        <w:spacing w:line="276" w:lineRule="auto"/>
        <w:ind w:left="426"/>
        <w:jc w:val="both"/>
        <w:rPr>
          <w:rFonts w:ascii="Century Gothic" w:eastAsia="Bookman Old Style" w:hAnsi="Century Gothic" w:cs="Bookman Old Style"/>
          <w:color w:val="000000"/>
          <w:sz w:val="20"/>
          <w:szCs w:val="20"/>
        </w:rPr>
      </w:pPr>
      <w:r w:rsidRPr="00E10543">
        <w:rPr>
          <w:rFonts w:ascii="Century Gothic" w:eastAsia="Bookman Old Style" w:hAnsi="Century Gothic" w:cs="Bookman Old Style"/>
          <w:color w:val="000000"/>
          <w:sz w:val="20"/>
          <w:szCs w:val="20"/>
        </w:rPr>
        <w:t>Dando alcance a lo establecido en el artículo 3 de la Ley 2003 de 2019, “</w:t>
      </w:r>
      <w:r w:rsidRPr="00E10543">
        <w:rPr>
          <w:rFonts w:ascii="Century Gothic" w:eastAsia="Bookman Old Style" w:hAnsi="Century Gothic" w:cs="Bookman Old Style"/>
          <w:i/>
          <w:color w:val="000000"/>
          <w:sz w:val="20"/>
          <w:szCs w:val="20"/>
        </w:rPr>
        <w:t>Por la cual se modifica parcialmente la Ley 5 de 1992</w:t>
      </w:r>
      <w:r w:rsidRPr="00E10543">
        <w:rPr>
          <w:rFonts w:ascii="Century Gothic" w:eastAsia="Bookman Old Style" w:hAnsi="Century Gothic" w:cs="Bookman Old Style"/>
          <w:color w:val="000000"/>
          <w:sz w:val="20"/>
          <w:szCs w:val="20"/>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787A3E04" w14:textId="77777777" w:rsidR="00756FAE" w:rsidRPr="00E10543" w:rsidRDefault="00756FAE" w:rsidP="00E10543">
      <w:pPr>
        <w:spacing w:line="276" w:lineRule="auto"/>
        <w:ind w:left="426"/>
        <w:jc w:val="both"/>
        <w:rPr>
          <w:rFonts w:ascii="Century Gothic" w:eastAsia="Bookman Old Style" w:hAnsi="Century Gothic" w:cs="Bookman Old Style"/>
          <w:color w:val="000000"/>
          <w:sz w:val="20"/>
          <w:szCs w:val="20"/>
        </w:rPr>
      </w:pPr>
    </w:p>
    <w:p w14:paraId="04AA2042" w14:textId="77777777" w:rsidR="00756FAE" w:rsidRPr="0055594B" w:rsidRDefault="00EA2C95" w:rsidP="0055594B">
      <w:pPr>
        <w:spacing w:line="276" w:lineRule="auto"/>
        <w:ind w:left="851" w:right="900"/>
        <w:jc w:val="both"/>
        <w:rPr>
          <w:rFonts w:ascii="Century Gothic" w:eastAsia="Bookman Old Style" w:hAnsi="Century Gothic" w:cs="Bookman Old Style"/>
          <w:i/>
          <w:color w:val="000000"/>
          <w:sz w:val="18"/>
          <w:szCs w:val="20"/>
        </w:rPr>
      </w:pPr>
      <w:r w:rsidRPr="0055594B">
        <w:rPr>
          <w:rFonts w:ascii="Century Gothic" w:eastAsia="Bookman Old Style" w:hAnsi="Century Gothic" w:cs="Bookman Old Style"/>
          <w:i/>
          <w:color w:val="000000"/>
          <w:sz w:val="18"/>
          <w:szCs w:val="20"/>
        </w:rPr>
        <w:t>“</w:t>
      </w:r>
      <w:r w:rsidRPr="0055594B">
        <w:rPr>
          <w:rFonts w:ascii="Century Gothic" w:eastAsia="Bookman Old Style" w:hAnsi="Century Gothic" w:cs="Bookman Old Style"/>
          <w:b/>
          <w:i/>
          <w:color w:val="000000"/>
          <w:sz w:val="18"/>
          <w:szCs w:val="20"/>
        </w:rPr>
        <w:t>Artículo 286. Régimen de conflicto de interés de los congresistas.</w:t>
      </w:r>
      <w:r w:rsidRPr="0055594B">
        <w:rPr>
          <w:rFonts w:ascii="Century Gothic" w:eastAsia="Bookman Old Style" w:hAnsi="Century Gothic" w:cs="Bookman Old Style"/>
          <w:i/>
          <w:color w:val="000000"/>
          <w:sz w:val="18"/>
          <w:szCs w:val="20"/>
        </w:rPr>
        <w:t xml:space="preserve"> Todos los congresistas deberán declarar los conflictos </w:t>
      </w:r>
      <w:r w:rsidRPr="0055594B">
        <w:rPr>
          <w:rFonts w:ascii="Century Gothic" w:eastAsia="Bookman Old Style" w:hAnsi="Century Gothic" w:cs="Bookman Old Style"/>
          <w:i/>
          <w:sz w:val="18"/>
          <w:szCs w:val="20"/>
        </w:rPr>
        <w:t>de intereses</w:t>
      </w:r>
      <w:r w:rsidRPr="0055594B">
        <w:rPr>
          <w:rFonts w:ascii="Century Gothic" w:eastAsia="Bookman Old Style" w:hAnsi="Century Gothic" w:cs="Bookman Old Style"/>
          <w:i/>
          <w:color w:val="000000"/>
          <w:sz w:val="18"/>
          <w:szCs w:val="20"/>
        </w:rPr>
        <w:t xml:space="preserve"> que pudieran surgir en ejercicio de sus funciones.</w:t>
      </w:r>
    </w:p>
    <w:p w14:paraId="0DA440BF" w14:textId="77777777" w:rsidR="00756FAE" w:rsidRPr="0055594B" w:rsidRDefault="00EA2C95" w:rsidP="0055594B">
      <w:pPr>
        <w:spacing w:line="276" w:lineRule="auto"/>
        <w:ind w:left="851" w:right="900"/>
        <w:jc w:val="both"/>
        <w:rPr>
          <w:rFonts w:ascii="Century Gothic" w:eastAsia="Bookman Old Style" w:hAnsi="Century Gothic" w:cs="Bookman Old Style"/>
          <w:i/>
          <w:color w:val="000000"/>
          <w:sz w:val="18"/>
          <w:szCs w:val="20"/>
        </w:rPr>
      </w:pPr>
      <w:r w:rsidRPr="0055594B">
        <w:rPr>
          <w:rFonts w:ascii="Century Gothic" w:eastAsia="Bookman Old Style" w:hAnsi="Century Gothic" w:cs="Bookman Old Style"/>
          <w:i/>
          <w:color w:val="000000"/>
          <w:sz w:val="18"/>
          <w:szCs w:val="20"/>
        </w:rPr>
        <w:t>Se entiende como conflicto de interés una situación donde la discusión o votación de un proyecto de ley o acto legislativo o artículo, pueda resultar en un beneficio particular, actual y directo a favor del congresista. </w:t>
      </w:r>
    </w:p>
    <w:p w14:paraId="71549EC6" w14:textId="77777777" w:rsidR="00756FAE" w:rsidRPr="0055594B" w:rsidRDefault="00EA2C95" w:rsidP="0055594B">
      <w:pPr>
        <w:numPr>
          <w:ilvl w:val="0"/>
          <w:numId w:val="3"/>
        </w:numPr>
        <w:spacing w:after="160" w:line="276" w:lineRule="auto"/>
        <w:ind w:left="851" w:right="900" w:firstLine="0"/>
        <w:jc w:val="both"/>
        <w:rPr>
          <w:rFonts w:ascii="Century Gothic" w:eastAsia="Bookman Old Style" w:hAnsi="Century Gothic" w:cs="Bookman Old Style"/>
          <w:i/>
          <w:color w:val="000000"/>
          <w:sz w:val="18"/>
          <w:szCs w:val="20"/>
        </w:rPr>
      </w:pPr>
      <w:r w:rsidRPr="0055594B">
        <w:rPr>
          <w:rFonts w:ascii="Century Gothic" w:eastAsia="Bookman Old Style" w:hAnsi="Century Gothic" w:cs="Bookman Old Style"/>
          <w:i/>
          <w:color w:val="000000"/>
          <w:sz w:val="18"/>
          <w:szCs w:val="20"/>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565C0565" w14:textId="77777777" w:rsidR="00756FAE" w:rsidRPr="0055594B" w:rsidRDefault="00EA2C95" w:rsidP="0055594B">
      <w:pPr>
        <w:numPr>
          <w:ilvl w:val="0"/>
          <w:numId w:val="3"/>
        </w:numPr>
        <w:spacing w:after="160" w:line="276" w:lineRule="auto"/>
        <w:ind w:left="851" w:right="900" w:firstLine="0"/>
        <w:jc w:val="both"/>
        <w:rPr>
          <w:rFonts w:ascii="Century Gothic" w:eastAsia="Bookman Old Style" w:hAnsi="Century Gothic" w:cs="Bookman Old Style"/>
          <w:i/>
          <w:color w:val="000000"/>
          <w:sz w:val="18"/>
          <w:szCs w:val="20"/>
        </w:rPr>
      </w:pPr>
      <w:r w:rsidRPr="0055594B">
        <w:rPr>
          <w:rFonts w:ascii="Century Gothic" w:eastAsia="Bookman Old Style" w:hAnsi="Century Gothic" w:cs="Bookman Old Style"/>
          <w:i/>
          <w:color w:val="000000"/>
          <w:sz w:val="18"/>
          <w:szCs w:val="20"/>
        </w:rPr>
        <w:t>Beneficio actual: aquel que efectivamente se configura en las circunstancias presentes y existentes al momento en el que el congresista participa de la decisión. </w:t>
      </w:r>
    </w:p>
    <w:p w14:paraId="2347CA16" w14:textId="77777777" w:rsidR="00756FAE" w:rsidRPr="0055594B" w:rsidRDefault="00EA2C95" w:rsidP="0055594B">
      <w:pPr>
        <w:numPr>
          <w:ilvl w:val="0"/>
          <w:numId w:val="3"/>
        </w:numPr>
        <w:spacing w:after="160" w:line="276" w:lineRule="auto"/>
        <w:ind w:left="851" w:right="900" w:firstLine="0"/>
        <w:jc w:val="both"/>
        <w:rPr>
          <w:rFonts w:ascii="Century Gothic" w:eastAsia="Bookman Old Style" w:hAnsi="Century Gothic" w:cs="Bookman Old Style"/>
          <w:i/>
          <w:color w:val="000000"/>
          <w:sz w:val="18"/>
          <w:szCs w:val="20"/>
        </w:rPr>
      </w:pPr>
      <w:r w:rsidRPr="0055594B">
        <w:rPr>
          <w:rFonts w:ascii="Century Gothic" w:eastAsia="Bookman Old Style" w:hAnsi="Century Gothic" w:cs="Bookman Old Style"/>
          <w:i/>
          <w:color w:val="000000"/>
          <w:sz w:val="18"/>
          <w:szCs w:val="20"/>
        </w:rPr>
        <w:t>Beneficio directo: aquel que se produzca de forma específica respecto del congresista, de su cónyuge, compañero o compañera permanente, o parientes dentro del segundo grado de consanguinidad, segundo de afinidad o primero civil.</w:t>
      </w:r>
    </w:p>
    <w:p w14:paraId="14207208" w14:textId="77777777" w:rsidR="00756FAE" w:rsidRPr="0055594B" w:rsidRDefault="00EA2C95" w:rsidP="0055594B">
      <w:pPr>
        <w:spacing w:line="276" w:lineRule="auto"/>
        <w:ind w:left="851" w:right="474"/>
        <w:jc w:val="both"/>
        <w:rPr>
          <w:rFonts w:ascii="Century Gothic" w:eastAsia="Bookman Old Style" w:hAnsi="Century Gothic" w:cs="Bookman Old Style"/>
          <w:i/>
          <w:color w:val="000000"/>
          <w:sz w:val="18"/>
          <w:szCs w:val="20"/>
        </w:rPr>
      </w:pPr>
      <w:r w:rsidRPr="0055594B">
        <w:rPr>
          <w:rFonts w:ascii="Century Gothic" w:eastAsia="Bookman Old Style" w:hAnsi="Century Gothic" w:cs="Bookman Old Style"/>
          <w:i/>
          <w:color w:val="000000"/>
          <w:sz w:val="18"/>
          <w:szCs w:val="20"/>
        </w:rPr>
        <w:t xml:space="preserve">                                                                                                          (…)”</w:t>
      </w:r>
    </w:p>
    <w:p w14:paraId="4E8815EE" w14:textId="77777777" w:rsidR="00756FAE" w:rsidRPr="00E10543" w:rsidRDefault="00EA2C95" w:rsidP="00E10543">
      <w:pPr>
        <w:spacing w:line="276" w:lineRule="auto"/>
        <w:ind w:left="426"/>
        <w:jc w:val="both"/>
        <w:rPr>
          <w:rFonts w:ascii="Century Gothic" w:eastAsia="Bookman Old Style" w:hAnsi="Century Gothic" w:cs="Bookman Old Style"/>
          <w:color w:val="000000"/>
          <w:sz w:val="20"/>
          <w:szCs w:val="20"/>
        </w:rPr>
      </w:pPr>
      <w:r w:rsidRPr="00E10543">
        <w:rPr>
          <w:rFonts w:ascii="Century Gothic" w:eastAsia="Bookman Old Style" w:hAnsi="Century Gothic" w:cs="Bookman Old Style"/>
          <w:color w:val="000000"/>
          <w:sz w:val="20"/>
          <w:szCs w:val="20"/>
        </w:rPr>
        <w:t>Sobre este asunto la Sala Plena Contenciosa Administrativa del Honorable Consejo de Estado en su sentencia 02830 del 16 de julio de 2019, M.P. Carlos Enrique Moreno Rubio, señaló que:</w:t>
      </w:r>
    </w:p>
    <w:p w14:paraId="55BE1FC1" w14:textId="77777777" w:rsidR="00756FAE" w:rsidRPr="00E10543" w:rsidRDefault="00756FAE" w:rsidP="00E10543">
      <w:pPr>
        <w:spacing w:line="276" w:lineRule="auto"/>
        <w:ind w:left="426"/>
        <w:jc w:val="both"/>
        <w:rPr>
          <w:rFonts w:ascii="Century Gothic" w:eastAsia="Bookman Old Style" w:hAnsi="Century Gothic" w:cs="Bookman Old Style"/>
          <w:color w:val="000000"/>
          <w:sz w:val="20"/>
          <w:szCs w:val="20"/>
        </w:rPr>
      </w:pPr>
    </w:p>
    <w:p w14:paraId="79D51636" w14:textId="77777777" w:rsidR="00756FAE" w:rsidRPr="00EA6409" w:rsidRDefault="00EA2C95" w:rsidP="0055594B">
      <w:pPr>
        <w:spacing w:line="276" w:lineRule="auto"/>
        <w:ind w:left="851" w:right="900"/>
        <w:jc w:val="both"/>
        <w:rPr>
          <w:rFonts w:ascii="Century Gothic" w:eastAsia="Bookman Old Style" w:hAnsi="Century Gothic" w:cs="Bookman Old Style"/>
          <w:i/>
          <w:color w:val="000000"/>
          <w:sz w:val="18"/>
          <w:szCs w:val="20"/>
        </w:rPr>
      </w:pPr>
      <w:r w:rsidRPr="00EA6409">
        <w:rPr>
          <w:rFonts w:ascii="Century Gothic" w:eastAsia="Bookman Old Style" w:hAnsi="Century Gothic" w:cs="Bookman Old Style"/>
          <w:i/>
          <w:color w:val="000000"/>
          <w:sz w:val="18"/>
          <w:szCs w:val="20"/>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w:t>
      </w:r>
      <w:r w:rsidRPr="00EA6409">
        <w:rPr>
          <w:rFonts w:ascii="Century Gothic" w:eastAsia="Bookman Old Style" w:hAnsi="Century Gothic" w:cs="Bookman Old Style"/>
          <w:i/>
          <w:color w:val="000000"/>
          <w:sz w:val="18"/>
          <w:szCs w:val="20"/>
        </w:rPr>
        <w:lastRenderedPageBreak/>
        <w:t>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7EC2136B" w14:textId="77777777" w:rsidR="00756FAE" w:rsidRPr="00E10543" w:rsidRDefault="00756FAE" w:rsidP="00E10543">
      <w:pPr>
        <w:spacing w:line="276" w:lineRule="auto"/>
        <w:ind w:left="426"/>
        <w:jc w:val="both"/>
        <w:rPr>
          <w:rFonts w:ascii="Century Gothic" w:eastAsia="Bookman Old Style" w:hAnsi="Century Gothic" w:cs="Bookman Old Style"/>
          <w:color w:val="000000"/>
          <w:sz w:val="20"/>
          <w:szCs w:val="20"/>
        </w:rPr>
      </w:pPr>
    </w:p>
    <w:p w14:paraId="2FD78756" w14:textId="1D537268" w:rsidR="00E10543" w:rsidRPr="00E10543" w:rsidRDefault="00E10543" w:rsidP="00E10543">
      <w:pPr>
        <w:spacing w:line="276" w:lineRule="auto"/>
        <w:ind w:left="426"/>
        <w:jc w:val="both"/>
        <w:rPr>
          <w:rFonts w:ascii="Century Gothic" w:eastAsia="Bookman Old Style" w:hAnsi="Century Gothic" w:cs="Bookman Old Style"/>
          <w:color w:val="000000"/>
          <w:sz w:val="20"/>
          <w:szCs w:val="20"/>
          <w:lang w:val="es"/>
        </w:rPr>
      </w:pPr>
      <w:bookmarkStart w:id="0" w:name="bookmark=id.3znysh7" w:colFirst="0" w:colLast="0"/>
      <w:bookmarkEnd w:id="0"/>
      <w:r w:rsidRPr="00E10543">
        <w:rPr>
          <w:rFonts w:ascii="Century Gothic" w:eastAsia="Bookman Old Style" w:hAnsi="Century Gothic" w:cs="Bookman Old Style"/>
          <w:color w:val="000000"/>
          <w:sz w:val="20"/>
          <w:szCs w:val="20"/>
          <w:lang w:val="es"/>
        </w:rPr>
        <w:t>Atendiendo el anterior apartado legal, se considera que en el caso de este Proyecto de Ley no existen circunstancias que eventualmente puedan generar un conflicto de interés por parte de los congresistas que participen en el debate y votación. Lo anterior, entendiendo el carácter general de lo propuesto en la iniciativa legislativa.</w:t>
      </w:r>
    </w:p>
    <w:p w14:paraId="7A6FBB1E" w14:textId="77777777" w:rsidR="00E10543" w:rsidRPr="00E10543" w:rsidRDefault="00E10543" w:rsidP="00E10543">
      <w:pPr>
        <w:spacing w:line="276" w:lineRule="auto"/>
        <w:ind w:left="426"/>
        <w:jc w:val="both"/>
        <w:rPr>
          <w:rFonts w:ascii="Century Gothic" w:eastAsia="Bookman Old Style" w:hAnsi="Century Gothic" w:cs="Bookman Old Style"/>
          <w:i/>
          <w:color w:val="000000"/>
          <w:sz w:val="20"/>
          <w:szCs w:val="20"/>
          <w:lang w:val="es"/>
        </w:rPr>
      </w:pPr>
    </w:p>
    <w:p w14:paraId="2B6A55AD" w14:textId="18C97BD2" w:rsidR="00E10543" w:rsidRDefault="00E10543" w:rsidP="00E10543">
      <w:pPr>
        <w:spacing w:line="276" w:lineRule="auto"/>
        <w:ind w:left="426"/>
        <w:jc w:val="both"/>
        <w:rPr>
          <w:rFonts w:ascii="Century Gothic" w:eastAsia="Bookman Old Style" w:hAnsi="Century Gothic" w:cs="Bookman Old Style"/>
          <w:color w:val="000000"/>
          <w:sz w:val="20"/>
          <w:szCs w:val="20"/>
          <w:lang w:val="es"/>
        </w:rPr>
      </w:pPr>
      <w:r w:rsidRPr="00E10543">
        <w:rPr>
          <w:rFonts w:ascii="Century Gothic" w:eastAsia="Bookman Old Style" w:hAnsi="Century Gothic" w:cs="Bookman Old Style"/>
          <w:color w:val="000000"/>
          <w:sz w:val="20"/>
          <w:szCs w:val="20"/>
          <w:lang w:val="es"/>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14:paraId="049FF658" w14:textId="37C96964" w:rsidR="0055594B" w:rsidRDefault="0055594B" w:rsidP="00E10543">
      <w:pPr>
        <w:spacing w:line="276" w:lineRule="auto"/>
        <w:ind w:left="426"/>
        <w:jc w:val="both"/>
        <w:rPr>
          <w:rFonts w:ascii="Century Gothic" w:eastAsia="Bookman Old Style" w:hAnsi="Century Gothic" w:cs="Bookman Old Style"/>
          <w:color w:val="000000"/>
          <w:sz w:val="20"/>
          <w:szCs w:val="20"/>
          <w:lang w:val="es"/>
        </w:rPr>
      </w:pPr>
    </w:p>
    <w:p w14:paraId="56E9581A" w14:textId="41874E07" w:rsidR="00E10543" w:rsidRPr="00E10543" w:rsidRDefault="00E10543" w:rsidP="00E10543">
      <w:pPr>
        <w:spacing w:line="276" w:lineRule="auto"/>
        <w:ind w:left="426"/>
        <w:jc w:val="both"/>
        <w:rPr>
          <w:rFonts w:ascii="Century Gothic" w:eastAsia="Bookman Old Style" w:hAnsi="Century Gothic" w:cs="Bookman Old Style"/>
          <w:color w:val="000000"/>
          <w:sz w:val="20"/>
          <w:szCs w:val="20"/>
          <w:lang w:val="es"/>
        </w:rPr>
      </w:pPr>
    </w:p>
    <w:p w14:paraId="7EC927D9" w14:textId="623414F4" w:rsidR="00E10543" w:rsidRPr="00E10543" w:rsidRDefault="00E10543" w:rsidP="00E10543">
      <w:pPr>
        <w:pStyle w:val="Prrafodelista"/>
        <w:numPr>
          <w:ilvl w:val="0"/>
          <w:numId w:val="11"/>
        </w:numPr>
        <w:spacing w:line="276" w:lineRule="auto"/>
        <w:ind w:left="426"/>
        <w:jc w:val="both"/>
        <w:rPr>
          <w:rFonts w:ascii="Century Gothic" w:eastAsia="Bookman Old Style" w:hAnsi="Century Gothic" w:cs="Bookman Old Style"/>
          <w:b/>
          <w:color w:val="000000"/>
          <w:sz w:val="20"/>
          <w:szCs w:val="20"/>
          <w:lang w:val="es"/>
        </w:rPr>
      </w:pPr>
      <w:r w:rsidRPr="00E10543">
        <w:rPr>
          <w:rFonts w:ascii="Century Gothic" w:eastAsia="Bookman Old Style" w:hAnsi="Century Gothic" w:cs="Bookman Old Style"/>
          <w:b/>
          <w:color w:val="000000"/>
          <w:sz w:val="20"/>
          <w:szCs w:val="20"/>
          <w:lang w:val="es"/>
        </w:rPr>
        <w:t>IMPACTO FISCAL</w:t>
      </w:r>
      <w:r w:rsidR="0055594B">
        <w:rPr>
          <w:rFonts w:ascii="Century Gothic" w:eastAsia="Bookman Old Style" w:hAnsi="Century Gothic" w:cs="Bookman Old Style"/>
          <w:b/>
          <w:color w:val="000000"/>
          <w:sz w:val="20"/>
          <w:szCs w:val="20"/>
          <w:lang w:val="es"/>
        </w:rPr>
        <w:tab/>
      </w:r>
      <w:r w:rsidR="0055594B">
        <w:rPr>
          <w:rFonts w:ascii="Century Gothic" w:eastAsia="Bookman Old Style" w:hAnsi="Century Gothic" w:cs="Bookman Old Style"/>
          <w:b/>
          <w:color w:val="000000"/>
          <w:sz w:val="20"/>
          <w:szCs w:val="20"/>
          <w:lang w:val="es"/>
        </w:rPr>
        <w:br/>
      </w:r>
      <w:r w:rsidR="0055594B">
        <w:rPr>
          <w:rFonts w:ascii="Century Gothic" w:eastAsia="Bookman Old Style" w:hAnsi="Century Gothic" w:cs="Bookman Old Style"/>
          <w:b/>
          <w:color w:val="000000"/>
          <w:sz w:val="20"/>
          <w:szCs w:val="20"/>
          <w:lang w:val="es"/>
        </w:rPr>
        <w:br/>
      </w:r>
      <w:r w:rsidR="0055594B">
        <w:rPr>
          <w:rFonts w:ascii="Century Gothic" w:eastAsia="Bookman Old Style" w:hAnsi="Century Gothic" w:cs="Bookman Old Style"/>
          <w:color w:val="000000"/>
          <w:sz w:val="20"/>
          <w:szCs w:val="20"/>
          <w:lang w:val="es"/>
        </w:rPr>
        <w:t xml:space="preserve">La ponente una vez revisado el proyecto de ley considera que el presente no genera ningún impacto fiscal para su implementación. Sin embargo, de considerarse por parte del Ministerio de Hacienda u otros entes que así lo hiciere es importante recordar la normatividad en la materia: </w:t>
      </w:r>
    </w:p>
    <w:p w14:paraId="0624CD75" w14:textId="5A95864C" w:rsidR="00E10543" w:rsidRPr="00E10543" w:rsidRDefault="00E10543" w:rsidP="00E10543">
      <w:pPr>
        <w:pStyle w:val="Prrafodelista"/>
        <w:spacing w:line="276" w:lineRule="auto"/>
        <w:ind w:left="426"/>
        <w:jc w:val="both"/>
        <w:rPr>
          <w:rFonts w:ascii="Century Gothic" w:eastAsia="Bookman Old Style" w:hAnsi="Century Gothic" w:cs="Bookman Old Style"/>
          <w:b/>
          <w:color w:val="000000"/>
          <w:sz w:val="20"/>
          <w:szCs w:val="20"/>
          <w:lang w:val="es"/>
        </w:rPr>
      </w:pPr>
    </w:p>
    <w:p w14:paraId="21A71DA4" w14:textId="77777777" w:rsidR="00E10543" w:rsidRPr="00E10543" w:rsidRDefault="00E10543" w:rsidP="00E10543">
      <w:pPr>
        <w:pStyle w:val="Prrafodelista"/>
        <w:spacing w:line="276" w:lineRule="auto"/>
        <w:ind w:left="426"/>
        <w:jc w:val="both"/>
        <w:rPr>
          <w:rFonts w:ascii="Century Gothic" w:eastAsia="Bookman Old Style" w:hAnsi="Century Gothic" w:cs="Bookman Old Style"/>
          <w:color w:val="000000"/>
          <w:sz w:val="20"/>
          <w:szCs w:val="20"/>
          <w:lang w:val="es"/>
        </w:rPr>
      </w:pPr>
      <w:r w:rsidRPr="00E10543">
        <w:rPr>
          <w:rFonts w:ascii="Century Gothic" w:eastAsia="Bookman Old Style" w:hAnsi="Century Gothic" w:cs="Bookman Old Style"/>
          <w:color w:val="000000"/>
          <w:sz w:val="20"/>
          <w:szCs w:val="20"/>
          <w:lang w:val="es"/>
        </w:rPr>
        <w:t xml:space="preserve">El artículo 7°, de la Ley 819, de 2003 “por la cual se dictan normas orgánicas en materia de presupuesto, responsabilidad y transparencia fiscal y se dictan otras disposiciones”, determina que en la exposición de motivos y en las ponencias de los proyectos de ley se debe hacer explícito el costo fiscal que se genera por el gasto ordenado o por el otorgamiento de beneficios tributarios, que debe ser compatible con el Marco Fiscal de Mediano Plazo, al mismo tiempo que debe señalar la fuente de financiación de dicho costo. </w:t>
      </w:r>
    </w:p>
    <w:p w14:paraId="2328E436" w14:textId="77777777" w:rsidR="00E10543" w:rsidRPr="00E10543" w:rsidRDefault="00E10543" w:rsidP="00E10543">
      <w:pPr>
        <w:pStyle w:val="Prrafodelista"/>
        <w:spacing w:line="276" w:lineRule="auto"/>
        <w:ind w:left="426"/>
        <w:jc w:val="both"/>
        <w:rPr>
          <w:rFonts w:ascii="Century Gothic" w:eastAsia="Bookman Old Style" w:hAnsi="Century Gothic" w:cs="Bookman Old Style"/>
          <w:color w:val="000000"/>
          <w:sz w:val="20"/>
          <w:szCs w:val="20"/>
          <w:lang w:val="es"/>
        </w:rPr>
      </w:pPr>
    </w:p>
    <w:p w14:paraId="72C7B7F7" w14:textId="77777777" w:rsidR="00E10543" w:rsidRPr="00E10543" w:rsidRDefault="00E10543" w:rsidP="00E10543">
      <w:pPr>
        <w:pStyle w:val="Prrafodelista"/>
        <w:spacing w:line="276" w:lineRule="auto"/>
        <w:ind w:left="426"/>
        <w:jc w:val="both"/>
        <w:rPr>
          <w:rFonts w:ascii="Century Gothic" w:eastAsia="Bookman Old Style" w:hAnsi="Century Gothic" w:cs="Bookman Old Style"/>
          <w:color w:val="000000"/>
          <w:sz w:val="20"/>
          <w:szCs w:val="20"/>
          <w:lang w:val="es"/>
        </w:rPr>
      </w:pPr>
      <w:r w:rsidRPr="00E10543">
        <w:rPr>
          <w:rFonts w:ascii="Century Gothic" w:eastAsia="Bookman Old Style" w:hAnsi="Century Gothic" w:cs="Bookman Old Style"/>
          <w:color w:val="000000"/>
          <w:sz w:val="20"/>
          <w:szCs w:val="20"/>
          <w:lang w:val="es"/>
        </w:rPr>
        <w:t>Ahora bien, en cumplimiento a la disposición referida, se deja de manifiesto que el gasto de que tratan algunos artículos no se impone u ordena, sino que se autoriza, para que el Gobierno incorpore dentro del Presupuesto General de la Nación y/o impulse a través del sistema nacional de cofinanciación las apropiaciones requeridas para dar cumplimiento a lo allí estipulado. Frente a este acápite es importante manifestar que la Corte Constitucional le ha reconocido al Congreso de la República la facultad que tiene para aprobar proyectos de ley que comporten gasto público, siempre y cuando no se imponga su ejecución, sino que se faculte al Gobierno para incluir las partidas correspondientes en el Presupuesto General de la Nación.</w:t>
      </w:r>
    </w:p>
    <w:p w14:paraId="72E98274" w14:textId="77777777" w:rsidR="00E10543" w:rsidRPr="00E10543" w:rsidRDefault="00E10543" w:rsidP="00E10543">
      <w:pPr>
        <w:pStyle w:val="Prrafodelista"/>
        <w:spacing w:line="276" w:lineRule="auto"/>
        <w:ind w:left="426"/>
        <w:jc w:val="both"/>
        <w:rPr>
          <w:rFonts w:ascii="Century Gothic" w:eastAsia="Bookman Old Style" w:hAnsi="Century Gothic" w:cs="Bookman Old Style"/>
          <w:color w:val="000000"/>
          <w:sz w:val="20"/>
          <w:szCs w:val="20"/>
          <w:lang w:val="es"/>
        </w:rPr>
      </w:pPr>
    </w:p>
    <w:p w14:paraId="033E8292" w14:textId="77777777" w:rsidR="00E10543" w:rsidRPr="00E10543" w:rsidRDefault="00E10543" w:rsidP="00E10543">
      <w:pPr>
        <w:pStyle w:val="Prrafodelista"/>
        <w:spacing w:line="276" w:lineRule="auto"/>
        <w:ind w:left="426"/>
        <w:jc w:val="both"/>
        <w:rPr>
          <w:rFonts w:ascii="Century Gothic" w:eastAsia="Bookman Old Style" w:hAnsi="Century Gothic" w:cs="Bookman Old Style"/>
          <w:color w:val="000000"/>
          <w:sz w:val="20"/>
          <w:szCs w:val="20"/>
          <w:lang w:val="es"/>
        </w:rPr>
      </w:pPr>
      <w:r w:rsidRPr="00E10543">
        <w:rPr>
          <w:rFonts w:ascii="Century Gothic" w:eastAsia="Bookman Old Style" w:hAnsi="Century Gothic" w:cs="Bookman Old Style"/>
          <w:color w:val="000000"/>
          <w:sz w:val="20"/>
          <w:szCs w:val="20"/>
          <w:lang w:val="es"/>
        </w:rPr>
        <w:t xml:space="preserve">Así mismo, en la sentencia C- 411 de 2009 de la Corte Constitucional, el análisis del impacto fiscal de las normas, en el cuerpo del proyecto de ley, no es requisito sine qua non para su trámite legislativo, ni debe ser una barrera para que el Congreso ejerza sus funciones, ni crea un poder de veto legislativo en cabeza del ministro de Hacienda; es más, hacer el análisis del impacto fiscal no recae únicamente en el legislador, sobre este punto ha establecido su análisis de la siguiente manera: </w:t>
      </w:r>
    </w:p>
    <w:p w14:paraId="1023DA35" w14:textId="77777777" w:rsidR="00E10543" w:rsidRPr="00E10543" w:rsidRDefault="00E10543" w:rsidP="00E10543">
      <w:pPr>
        <w:pStyle w:val="Prrafodelista"/>
        <w:spacing w:line="276" w:lineRule="auto"/>
        <w:ind w:left="426"/>
        <w:jc w:val="both"/>
        <w:rPr>
          <w:rFonts w:ascii="Century Gothic" w:eastAsia="Bookman Old Style" w:hAnsi="Century Gothic" w:cs="Bookman Old Style"/>
          <w:color w:val="000000"/>
          <w:sz w:val="20"/>
          <w:szCs w:val="20"/>
          <w:lang w:val="es"/>
        </w:rPr>
      </w:pPr>
    </w:p>
    <w:p w14:paraId="4A76DB74" w14:textId="77777777" w:rsidR="00E10543" w:rsidRPr="00E10543" w:rsidRDefault="00E10543" w:rsidP="00E10543">
      <w:pPr>
        <w:pStyle w:val="Prrafodelista"/>
        <w:spacing w:line="276" w:lineRule="auto"/>
        <w:ind w:left="426"/>
        <w:jc w:val="both"/>
        <w:rPr>
          <w:rFonts w:ascii="Century Gothic" w:eastAsia="Bookman Old Style" w:hAnsi="Century Gothic" w:cs="Bookman Old Style"/>
          <w:color w:val="000000"/>
          <w:sz w:val="20"/>
          <w:szCs w:val="20"/>
          <w:lang w:val="es"/>
        </w:rPr>
      </w:pPr>
      <w:r w:rsidRPr="00E10543">
        <w:rPr>
          <w:rFonts w:ascii="Century Gothic" w:eastAsia="Bookman Old Style" w:hAnsi="Century Gothic" w:cs="Bookman Old Style"/>
          <w:color w:val="000000"/>
          <w:sz w:val="20"/>
          <w:szCs w:val="20"/>
          <w:lang w:val="es"/>
        </w:rPr>
        <w:t xml:space="preserve">(…) el cumplimiento de lo dispuesto en el artículo 7° de la Ley 819 de 2003 corresponde al Congreso, pero principalmente al ministro de Hacienda y Crédito Público, en tanto </w:t>
      </w:r>
      <w:r w:rsidRPr="00E10543">
        <w:rPr>
          <w:rFonts w:ascii="Century Gothic" w:eastAsia="Bookman Old Style" w:hAnsi="Century Gothic" w:cs="Bookman Old Style"/>
          <w:color w:val="000000"/>
          <w:sz w:val="20"/>
          <w:szCs w:val="20"/>
          <w:lang w:val="es"/>
        </w:rPr>
        <w:lastRenderedPageBreak/>
        <w:t>que “es el que cuenta con los datos, los equipos de funcionarios y la experticia en materia económica (...)”</w:t>
      </w:r>
      <w:r w:rsidRPr="00E10543">
        <w:rPr>
          <w:rFonts w:ascii="Century Gothic" w:eastAsia="Bookman Old Style" w:hAnsi="Century Gothic" w:cs="Bookman Old Style"/>
          <w:color w:val="000000"/>
          <w:sz w:val="20"/>
          <w:szCs w:val="20"/>
          <w:vertAlign w:val="superscript"/>
          <w:lang w:val="es"/>
        </w:rPr>
        <w:footnoteReference w:id="22"/>
      </w:r>
    </w:p>
    <w:p w14:paraId="4CCDC476" w14:textId="77777777" w:rsidR="00E10543" w:rsidRPr="00E10543" w:rsidRDefault="00E10543" w:rsidP="00E10543">
      <w:pPr>
        <w:pStyle w:val="Prrafodelista"/>
        <w:spacing w:line="276" w:lineRule="auto"/>
        <w:ind w:left="426"/>
        <w:jc w:val="both"/>
        <w:rPr>
          <w:rFonts w:ascii="Century Gothic" w:eastAsia="Bookman Old Style" w:hAnsi="Century Gothic" w:cs="Bookman Old Style"/>
          <w:color w:val="000000"/>
          <w:sz w:val="20"/>
          <w:szCs w:val="20"/>
          <w:lang w:val="es"/>
        </w:rPr>
      </w:pPr>
    </w:p>
    <w:p w14:paraId="0CF6BC1C" w14:textId="77777777" w:rsidR="00E10543" w:rsidRPr="00E10543" w:rsidRDefault="00E10543" w:rsidP="00E10543">
      <w:pPr>
        <w:pStyle w:val="Prrafodelista"/>
        <w:spacing w:line="276" w:lineRule="auto"/>
        <w:ind w:left="426"/>
        <w:jc w:val="both"/>
        <w:rPr>
          <w:rFonts w:ascii="Century Gothic" w:eastAsia="Bookman Old Style" w:hAnsi="Century Gothic" w:cs="Bookman Old Style"/>
          <w:color w:val="000000"/>
          <w:sz w:val="20"/>
          <w:szCs w:val="20"/>
          <w:lang w:val="es"/>
        </w:rPr>
      </w:pPr>
      <w:r w:rsidRPr="00E10543">
        <w:rPr>
          <w:rFonts w:ascii="Century Gothic" w:eastAsia="Bookman Old Style" w:hAnsi="Century Gothic" w:cs="Bookman Old Style"/>
          <w:color w:val="000000"/>
          <w:sz w:val="20"/>
          <w:szCs w:val="20"/>
          <w:lang w:val="es"/>
        </w:rPr>
        <w:t>Lo anterior significa que, en cualquier momento del trámite legislativo, el ministro de Hacienda y Crédito Público podrá ilustrarle a este Congreso las consecuencias económicas del presente proyecto de ley; toda vez que, de acuerdo con el proceso de racionalidad legislativa, la carga principal del análisis de impacto fiscal reposa en esta cartera por contar con los datos, los equipos de funcionarios y la experticia en materia económica.</w:t>
      </w:r>
    </w:p>
    <w:p w14:paraId="354DECB9" w14:textId="77777777" w:rsidR="00E10543" w:rsidRPr="00E10543" w:rsidRDefault="00E10543" w:rsidP="00E10543">
      <w:pPr>
        <w:pStyle w:val="Prrafodelista"/>
        <w:spacing w:line="276" w:lineRule="auto"/>
        <w:ind w:left="426"/>
        <w:jc w:val="both"/>
        <w:rPr>
          <w:rFonts w:ascii="Century Gothic" w:eastAsia="Bookman Old Style" w:hAnsi="Century Gothic" w:cs="Bookman Old Style"/>
          <w:b/>
          <w:color w:val="000000"/>
          <w:sz w:val="20"/>
          <w:szCs w:val="20"/>
          <w:lang w:val="es"/>
        </w:rPr>
      </w:pPr>
    </w:p>
    <w:p w14:paraId="5C572F4A" w14:textId="3F478DF6" w:rsidR="00756FAE" w:rsidRPr="00E10543" w:rsidRDefault="00756FAE" w:rsidP="00E10543">
      <w:pPr>
        <w:spacing w:line="276" w:lineRule="auto"/>
        <w:ind w:left="426"/>
        <w:jc w:val="both"/>
        <w:rPr>
          <w:rFonts w:ascii="Century Gothic" w:eastAsia="Bookman Old Style" w:hAnsi="Century Gothic" w:cs="Bookman Old Style"/>
          <w:color w:val="000000"/>
          <w:sz w:val="20"/>
          <w:szCs w:val="20"/>
        </w:rPr>
      </w:pPr>
    </w:p>
    <w:p w14:paraId="3BEDB51C" w14:textId="4E23186E" w:rsidR="00E56BBC" w:rsidRPr="00E10543" w:rsidRDefault="00E56BBC" w:rsidP="00E10543">
      <w:pPr>
        <w:pStyle w:val="Ttulo2"/>
        <w:keepNext w:val="0"/>
        <w:keepLines w:val="0"/>
        <w:widowControl w:val="0"/>
        <w:numPr>
          <w:ilvl w:val="0"/>
          <w:numId w:val="11"/>
        </w:numPr>
        <w:spacing w:before="0" w:after="0" w:line="276" w:lineRule="auto"/>
        <w:ind w:left="426"/>
        <w:rPr>
          <w:rFonts w:ascii="Century Gothic" w:eastAsia="Calibri" w:hAnsi="Century Gothic" w:cs="Calibri"/>
          <w:sz w:val="20"/>
          <w:szCs w:val="20"/>
        </w:rPr>
      </w:pPr>
      <w:r w:rsidRPr="00E10543">
        <w:rPr>
          <w:rFonts w:ascii="Century Gothic" w:eastAsia="Calibri" w:hAnsi="Century Gothic" w:cs="Calibri"/>
          <w:sz w:val="20"/>
          <w:szCs w:val="20"/>
        </w:rPr>
        <w:t>PROPOSICIÓN.</w:t>
      </w:r>
    </w:p>
    <w:p w14:paraId="2949D7E1" w14:textId="77777777" w:rsidR="00E56BBC" w:rsidRPr="00E10543" w:rsidRDefault="00E56BBC" w:rsidP="00E10543">
      <w:pPr>
        <w:spacing w:line="276" w:lineRule="auto"/>
        <w:ind w:left="426"/>
        <w:jc w:val="both"/>
        <w:rPr>
          <w:rFonts w:ascii="Century Gothic" w:hAnsi="Century Gothic" w:cs="Arial"/>
          <w:sz w:val="20"/>
          <w:szCs w:val="20"/>
        </w:rPr>
      </w:pPr>
    </w:p>
    <w:p w14:paraId="10EB8B03" w14:textId="21FADC15" w:rsidR="00E56BBC" w:rsidRPr="00E10543" w:rsidRDefault="00E56BBC" w:rsidP="00E10543">
      <w:pPr>
        <w:spacing w:line="276" w:lineRule="auto"/>
        <w:ind w:left="426"/>
        <w:jc w:val="both"/>
        <w:rPr>
          <w:rFonts w:ascii="Century Gothic" w:hAnsi="Century Gothic" w:cs="Arial"/>
          <w:b/>
          <w:bCs/>
          <w:sz w:val="20"/>
          <w:szCs w:val="20"/>
        </w:rPr>
      </w:pPr>
      <w:r w:rsidRPr="00E10543">
        <w:rPr>
          <w:rFonts w:ascii="Century Gothic" w:hAnsi="Century Gothic" w:cs="Arial"/>
          <w:sz w:val="20"/>
          <w:szCs w:val="20"/>
        </w:rPr>
        <w:t xml:space="preserve">Con fundamento en las anteriores consideraciones, presento </w:t>
      </w:r>
      <w:r w:rsidR="0055594B" w:rsidRPr="00E10543">
        <w:rPr>
          <w:rFonts w:ascii="Century Gothic" w:hAnsi="Century Gothic" w:cs="Arial"/>
          <w:b/>
          <w:sz w:val="20"/>
          <w:szCs w:val="20"/>
        </w:rPr>
        <w:t>PONENCIA POSITIVA</w:t>
      </w:r>
      <w:r w:rsidRPr="00E10543">
        <w:rPr>
          <w:rFonts w:ascii="Century Gothic" w:hAnsi="Century Gothic" w:cs="Arial"/>
          <w:sz w:val="20"/>
          <w:szCs w:val="20"/>
        </w:rPr>
        <w:t xml:space="preserve"> y solicito a los Honorables </w:t>
      </w:r>
      <w:r w:rsidR="00EA4295" w:rsidRPr="00E10543">
        <w:rPr>
          <w:rFonts w:ascii="Century Gothic" w:hAnsi="Century Gothic" w:cs="Arial"/>
          <w:sz w:val="20"/>
          <w:szCs w:val="20"/>
        </w:rPr>
        <w:t xml:space="preserve">Representantes de </w:t>
      </w:r>
      <w:r w:rsidRPr="00E10543">
        <w:rPr>
          <w:rFonts w:ascii="Century Gothic" w:hAnsi="Century Gothic" w:cs="Arial"/>
          <w:sz w:val="20"/>
          <w:szCs w:val="20"/>
        </w:rPr>
        <w:t xml:space="preserve">la Cámara de Representantes dar </w:t>
      </w:r>
      <w:r w:rsidR="0055594B">
        <w:rPr>
          <w:rFonts w:ascii="Century Gothic" w:hAnsi="Century Gothic" w:cs="Arial"/>
          <w:sz w:val="20"/>
          <w:szCs w:val="20"/>
        </w:rPr>
        <w:t xml:space="preserve">primer </w:t>
      </w:r>
      <w:r w:rsidRPr="00E10543">
        <w:rPr>
          <w:rFonts w:ascii="Century Gothic" w:hAnsi="Century Gothic" w:cs="Arial"/>
          <w:sz w:val="20"/>
          <w:szCs w:val="20"/>
        </w:rPr>
        <w:t xml:space="preserve">Debate al </w:t>
      </w:r>
      <w:r w:rsidR="00E10543" w:rsidRPr="00E10543">
        <w:rPr>
          <w:rFonts w:ascii="Century Gothic" w:hAnsi="Century Gothic" w:cs="Arial"/>
          <w:b/>
          <w:bCs/>
          <w:sz w:val="20"/>
          <w:szCs w:val="20"/>
        </w:rPr>
        <w:t xml:space="preserve">PROYECTO DE LEY NÚMERO 052 DE 2023 CÁMARA </w:t>
      </w:r>
      <w:r w:rsidR="00E10543" w:rsidRPr="00E10543">
        <w:rPr>
          <w:rFonts w:ascii="Century Gothic" w:hAnsi="Century Gothic" w:cs="Arial"/>
          <w:bCs/>
          <w:i/>
          <w:iCs/>
          <w:sz w:val="20"/>
          <w:szCs w:val="20"/>
        </w:rPr>
        <w:t>“Por medio del cual se incorpora en el Ordenamiento Jurídico Colombiano la violencia vicaria, se modifica la Ley 1257 de 2008 y la Ley 2126 de 2021 y se dictan otras disposiciones</w:t>
      </w:r>
      <w:r w:rsidR="00E10543" w:rsidRPr="00E10543">
        <w:rPr>
          <w:rFonts w:ascii="Century Gothic" w:hAnsi="Century Gothic" w:cs="Arial"/>
          <w:bCs/>
          <w:sz w:val="20"/>
          <w:szCs w:val="20"/>
        </w:rPr>
        <w:t>”,</w:t>
      </w:r>
      <w:r w:rsidR="00E53C39" w:rsidRPr="00E10543">
        <w:rPr>
          <w:rFonts w:ascii="Century Gothic" w:hAnsi="Century Gothic" w:cs="Arial"/>
          <w:bCs/>
          <w:sz w:val="20"/>
          <w:szCs w:val="20"/>
        </w:rPr>
        <w:t xml:space="preserve"> conforme al texto propuesto.</w:t>
      </w:r>
    </w:p>
    <w:p w14:paraId="7922306A" w14:textId="4AB7FCE0" w:rsidR="00E56BBC" w:rsidRPr="00E10543" w:rsidRDefault="00E56BBC" w:rsidP="00E10543">
      <w:pPr>
        <w:spacing w:line="276" w:lineRule="auto"/>
        <w:ind w:left="426"/>
        <w:jc w:val="both"/>
        <w:rPr>
          <w:rFonts w:ascii="Century Gothic" w:eastAsia="Bookman Old Style" w:hAnsi="Century Gothic" w:cs="Bookman Old Style"/>
          <w:color w:val="000000"/>
          <w:sz w:val="20"/>
          <w:szCs w:val="20"/>
        </w:rPr>
      </w:pPr>
    </w:p>
    <w:p w14:paraId="7398BF0A" w14:textId="7F20AE86" w:rsidR="00756FAE" w:rsidRPr="00E10543" w:rsidRDefault="00EA2C95" w:rsidP="00E10543">
      <w:pPr>
        <w:spacing w:line="276" w:lineRule="auto"/>
        <w:ind w:left="426"/>
        <w:jc w:val="both"/>
        <w:rPr>
          <w:rFonts w:ascii="Century Gothic" w:eastAsia="Bookman Old Style" w:hAnsi="Century Gothic" w:cs="Bookman Old Style"/>
          <w:color w:val="000000"/>
          <w:sz w:val="20"/>
          <w:szCs w:val="20"/>
        </w:rPr>
      </w:pPr>
      <w:r w:rsidRPr="00E10543">
        <w:rPr>
          <w:rFonts w:ascii="Century Gothic" w:eastAsia="Bookman Old Style" w:hAnsi="Century Gothic" w:cs="Bookman Old Style"/>
          <w:color w:val="000000"/>
          <w:sz w:val="20"/>
          <w:szCs w:val="20"/>
        </w:rPr>
        <w:t>Cordialmente,</w:t>
      </w:r>
    </w:p>
    <w:p w14:paraId="23D44809" w14:textId="47372505" w:rsidR="00EA4295" w:rsidRPr="00E10543" w:rsidRDefault="00EA4295" w:rsidP="00E10543">
      <w:pPr>
        <w:spacing w:line="276" w:lineRule="auto"/>
        <w:ind w:left="426"/>
        <w:jc w:val="both"/>
        <w:rPr>
          <w:rFonts w:ascii="Century Gothic" w:eastAsia="Bookman Old Style" w:hAnsi="Century Gothic" w:cs="Bookman Old Style"/>
          <w:color w:val="000000"/>
          <w:sz w:val="20"/>
          <w:szCs w:val="20"/>
        </w:rPr>
      </w:pPr>
    </w:p>
    <w:p w14:paraId="29941D2A" w14:textId="0C043517" w:rsidR="00EA4295" w:rsidRPr="00E10543" w:rsidRDefault="00EA4295" w:rsidP="00E10543">
      <w:pPr>
        <w:spacing w:line="276" w:lineRule="auto"/>
        <w:ind w:left="426"/>
        <w:jc w:val="both"/>
        <w:rPr>
          <w:rFonts w:ascii="Century Gothic" w:eastAsia="Bookman Old Style" w:hAnsi="Century Gothic" w:cs="Bookman Old Style"/>
          <w:color w:val="000000"/>
          <w:sz w:val="20"/>
          <w:szCs w:val="20"/>
        </w:rPr>
      </w:pPr>
    </w:p>
    <w:p w14:paraId="044E13AC" w14:textId="2236068D" w:rsidR="00EA4295" w:rsidRPr="00E10543" w:rsidRDefault="00EA4295" w:rsidP="00E10543">
      <w:pPr>
        <w:spacing w:line="276" w:lineRule="auto"/>
        <w:ind w:left="426"/>
        <w:jc w:val="both"/>
        <w:rPr>
          <w:rFonts w:ascii="Century Gothic" w:eastAsia="Bookman Old Style" w:hAnsi="Century Gothic" w:cs="Bookman Old Style"/>
          <w:color w:val="000000"/>
          <w:sz w:val="20"/>
          <w:szCs w:val="20"/>
        </w:rPr>
      </w:pPr>
    </w:p>
    <w:p w14:paraId="0DA61D4D" w14:textId="38F3D4EB" w:rsidR="00EA4295" w:rsidRPr="00E10543" w:rsidRDefault="00EA4295" w:rsidP="00E10543">
      <w:pPr>
        <w:spacing w:line="276" w:lineRule="auto"/>
        <w:ind w:left="426"/>
        <w:jc w:val="both"/>
        <w:rPr>
          <w:rFonts w:ascii="Century Gothic" w:eastAsia="Bookman Old Style" w:hAnsi="Century Gothic" w:cs="Bookman Old Style"/>
          <w:color w:val="000000"/>
          <w:sz w:val="20"/>
          <w:szCs w:val="20"/>
        </w:rPr>
      </w:pPr>
    </w:p>
    <w:p w14:paraId="7D3C2012" w14:textId="77777777" w:rsidR="00EA4295" w:rsidRPr="00E10543" w:rsidRDefault="00EA4295" w:rsidP="00E10543">
      <w:pPr>
        <w:spacing w:line="276" w:lineRule="auto"/>
        <w:ind w:left="426"/>
        <w:jc w:val="both"/>
        <w:rPr>
          <w:rFonts w:ascii="Century Gothic" w:eastAsia="Bookman Old Style" w:hAnsi="Century Gothic" w:cs="Bookman Old Style"/>
          <w:color w:val="000000"/>
          <w:sz w:val="20"/>
          <w:szCs w:val="20"/>
        </w:rPr>
      </w:pPr>
    </w:p>
    <w:p w14:paraId="7CA6C9B8" w14:textId="77777777" w:rsidR="0047400B" w:rsidRPr="00E10543" w:rsidRDefault="0047400B" w:rsidP="00E10543">
      <w:pPr>
        <w:tabs>
          <w:tab w:val="right" w:pos="8838"/>
        </w:tabs>
        <w:spacing w:line="276" w:lineRule="auto"/>
        <w:ind w:left="426"/>
        <w:jc w:val="center"/>
        <w:rPr>
          <w:rFonts w:ascii="Century Gothic" w:eastAsia="Bookman Old Style" w:hAnsi="Century Gothic" w:cs="Bookman Old Style"/>
          <w:b/>
          <w:sz w:val="20"/>
          <w:szCs w:val="20"/>
        </w:rPr>
      </w:pPr>
    </w:p>
    <w:p w14:paraId="2595A1B7" w14:textId="6E2DD937" w:rsidR="0047400B" w:rsidRPr="00E10543" w:rsidRDefault="00420DC8" w:rsidP="00E10543">
      <w:pPr>
        <w:tabs>
          <w:tab w:val="right" w:pos="8838"/>
        </w:tabs>
        <w:spacing w:line="276" w:lineRule="auto"/>
        <w:ind w:left="426"/>
        <w:jc w:val="center"/>
        <w:rPr>
          <w:rFonts w:ascii="Century Gothic" w:eastAsia="Bookman Old Style" w:hAnsi="Century Gothic" w:cs="Bookman Old Style"/>
          <w:b/>
          <w:color w:val="000000"/>
          <w:sz w:val="20"/>
          <w:szCs w:val="20"/>
        </w:rPr>
      </w:pPr>
      <w:r w:rsidRPr="00E10543">
        <w:rPr>
          <w:rFonts w:ascii="Century Gothic" w:eastAsia="Bookman Old Style" w:hAnsi="Century Gothic" w:cs="Bookman Old Style"/>
          <w:b/>
          <w:color w:val="000000"/>
          <w:sz w:val="20"/>
          <w:szCs w:val="20"/>
        </w:rPr>
        <w:t>DELCY ESPERANZA ISAZA BUENAVENTURA</w:t>
      </w:r>
    </w:p>
    <w:p w14:paraId="7869A558" w14:textId="3250627B" w:rsidR="0047400B" w:rsidRPr="00E10543" w:rsidRDefault="0047400B" w:rsidP="00E10543">
      <w:pPr>
        <w:tabs>
          <w:tab w:val="right" w:pos="8838"/>
        </w:tabs>
        <w:spacing w:line="276" w:lineRule="auto"/>
        <w:ind w:left="426"/>
        <w:jc w:val="center"/>
        <w:rPr>
          <w:rFonts w:ascii="Century Gothic" w:eastAsia="Bookman Old Style" w:hAnsi="Century Gothic" w:cs="Bookman Old Style"/>
          <w:color w:val="000000"/>
          <w:sz w:val="20"/>
          <w:szCs w:val="20"/>
        </w:rPr>
      </w:pPr>
      <w:r w:rsidRPr="00E10543">
        <w:rPr>
          <w:rFonts w:ascii="Century Gothic" w:eastAsia="Bookman Old Style" w:hAnsi="Century Gothic" w:cs="Bookman Old Style"/>
          <w:color w:val="000000"/>
          <w:sz w:val="20"/>
          <w:szCs w:val="20"/>
        </w:rPr>
        <w:t xml:space="preserve">Representante a la Cámara por </w:t>
      </w:r>
      <w:r w:rsidR="00420DC8" w:rsidRPr="00E10543">
        <w:rPr>
          <w:rFonts w:ascii="Century Gothic" w:eastAsia="Bookman Old Style" w:hAnsi="Century Gothic" w:cs="Bookman Old Style"/>
          <w:color w:val="000000"/>
          <w:sz w:val="20"/>
          <w:szCs w:val="20"/>
        </w:rPr>
        <w:t>el Tolima.</w:t>
      </w:r>
      <w:r w:rsidR="005A6B1D">
        <w:rPr>
          <w:rFonts w:ascii="Century Gothic" w:eastAsia="Bookman Old Style" w:hAnsi="Century Gothic" w:cs="Bookman Old Style"/>
          <w:color w:val="000000"/>
          <w:sz w:val="20"/>
          <w:szCs w:val="20"/>
        </w:rPr>
        <w:br/>
        <w:t>Partido Conservador</w:t>
      </w:r>
    </w:p>
    <w:p w14:paraId="07F92632" w14:textId="02EB1938" w:rsidR="0047400B" w:rsidRPr="00E10543" w:rsidRDefault="00E56BBC" w:rsidP="00E10543">
      <w:pPr>
        <w:spacing w:line="276" w:lineRule="auto"/>
        <w:ind w:left="426"/>
        <w:jc w:val="center"/>
        <w:rPr>
          <w:rFonts w:ascii="Century Gothic" w:eastAsia="Bookman Old Style" w:hAnsi="Century Gothic" w:cs="Bookman Old Style"/>
          <w:color w:val="000000"/>
          <w:sz w:val="20"/>
          <w:szCs w:val="20"/>
        </w:rPr>
      </w:pPr>
      <w:r w:rsidRPr="00E10543">
        <w:rPr>
          <w:rFonts w:ascii="Century Gothic" w:eastAsia="Bookman Old Style" w:hAnsi="Century Gothic" w:cs="Bookman Old Style"/>
          <w:color w:val="000000"/>
          <w:sz w:val="20"/>
          <w:szCs w:val="20"/>
        </w:rPr>
        <w:t>Ponente.</w:t>
      </w:r>
    </w:p>
    <w:p w14:paraId="0BD69B3D" w14:textId="430E20CB" w:rsidR="00CC586F" w:rsidRPr="00E10543" w:rsidRDefault="00CC586F" w:rsidP="00E10543">
      <w:pPr>
        <w:spacing w:line="276" w:lineRule="auto"/>
        <w:ind w:left="426"/>
        <w:jc w:val="center"/>
        <w:rPr>
          <w:rFonts w:ascii="Century Gothic" w:eastAsia="Bookman Old Style" w:hAnsi="Century Gothic" w:cs="Bookman Old Style"/>
          <w:color w:val="000000"/>
          <w:sz w:val="20"/>
          <w:szCs w:val="20"/>
        </w:rPr>
      </w:pPr>
    </w:p>
    <w:p w14:paraId="1DD8D208" w14:textId="3C1B1F2B" w:rsidR="00EA4295" w:rsidRPr="00E10543" w:rsidRDefault="00EA4295" w:rsidP="00E10543">
      <w:pPr>
        <w:spacing w:line="276" w:lineRule="auto"/>
        <w:ind w:left="426"/>
        <w:jc w:val="center"/>
        <w:rPr>
          <w:rFonts w:ascii="Century Gothic" w:eastAsia="Bookman Old Style" w:hAnsi="Century Gothic" w:cs="Bookman Old Style"/>
          <w:b/>
          <w:bCs/>
          <w:color w:val="000000"/>
          <w:sz w:val="20"/>
          <w:szCs w:val="20"/>
        </w:rPr>
      </w:pPr>
    </w:p>
    <w:p w14:paraId="327C266A" w14:textId="07FBCAC0" w:rsidR="00EA4295" w:rsidRPr="00E10543" w:rsidRDefault="00EA4295" w:rsidP="00E10543">
      <w:pPr>
        <w:spacing w:line="276" w:lineRule="auto"/>
        <w:ind w:left="426"/>
        <w:jc w:val="both"/>
        <w:rPr>
          <w:rFonts w:ascii="Century Gothic" w:eastAsia="Bookman Old Style" w:hAnsi="Century Gothic" w:cs="Bookman Old Style"/>
          <w:color w:val="000000"/>
          <w:sz w:val="20"/>
          <w:szCs w:val="20"/>
        </w:rPr>
      </w:pPr>
    </w:p>
    <w:p w14:paraId="619DCD70" w14:textId="2952562C" w:rsidR="00EA4295" w:rsidRPr="00E10543" w:rsidRDefault="00EA4295" w:rsidP="00E10543">
      <w:pPr>
        <w:spacing w:line="276" w:lineRule="auto"/>
        <w:ind w:left="426"/>
        <w:jc w:val="both"/>
        <w:rPr>
          <w:rFonts w:ascii="Century Gothic" w:eastAsia="Bookman Old Style" w:hAnsi="Century Gothic" w:cs="Bookman Old Style"/>
          <w:color w:val="000000"/>
          <w:sz w:val="20"/>
          <w:szCs w:val="20"/>
        </w:rPr>
      </w:pPr>
    </w:p>
    <w:p w14:paraId="56C0A28F" w14:textId="1D24FE05" w:rsidR="00E10543" w:rsidRPr="00E10543" w:rsidRDefault="00E10543" w:rsidP="00E10543">
      <w:pPr>
        <w:spacing w:line="276" w:lineRule="auto"/>
        <w:ind w:left="426"/>
        <w:jc w:val="both"/>
        <w:rPr>
          <w:rFonts w:ascii="Century Gothic" w:eastAsia="Bookman Old Style" w:hAnsi="Century Gothic" w:cs="Bookman Old Style"/>
          <w:color w:val="000000"/>
          <w:sz w:val="20"/>
          <w:szCs w:val="20"/>
        </w:rPr>
      </w:pPr>
    </w:p>
    <w:p w14:paraId="2F31D5B1" w14:textId="59E7876A" w:rsidR="00E10543" w:rsidRPr="00E10543" w:rsidRDefault="00E10543" w:rsidP="00E10543">
      <w:pPr>
        <w:spacing w:line="276" w:lineRule="auto"/>
        <w:ind w:left="426"/>
        <w:jc w:val="both"/>
        <w:rPr>
          <w:rFonts w:ascii="Century Gothic" w:eastAsia="Bookman Old Style" w:hAnsi="Century Gothic" w:cs="Bookman Old Style"/>
          <w:color w:val="000000"/>
          <w:sz w:val="20"/>
          <w:szCs w:val="20"/>
        </w:rPr>
      </w:pPr>
    </w:p>
    <w:p w14:paraId="2242CA0C" w14:textId="0F5C8EB8" w:rsidR="00E10543" w:rsidRDefault="00E10543" w:rsidP="00E10543">
      <w:pPr>
        <w:spacing w:line="276" w:lineRule="auto"/>
        <w:ind w:left="426"/>
        <w:jc w:val="both"/>
        <w:rPr>
          <w:rFonts w:ascii="Century Gothic" w:eastAsia="Bookman Old Style" w:hAnsi="Century Gothic" w:cs="Bookman Old Style"/>
          <w:color w:val="000000"/>
          <w:sz w:val="20"/>
          <w:szCs w:val="20"/>
        </w:rPr>
      </w:pPr>
    </w:p>
    <w:p w14:paraId="6CDBECF3" w14:textId="751D2A25" w:rsidR="0055594B" w:rsidRDefault="0055594B" w:rsidP="00E10543">
      <w:pPr>
        <w:spacing w:line="276" w:lineRule="auto"/>
        <w:ind w:left="426"/>
        <w:jc w:val="both"/>
        <w:rPr>
          <w:rFonts w:ascii="Century Gothic" w:eastAsia="Bookman Old Style" w:hAnsi="Century Gothic" w:cs="Bookman Old Style"/>
          <w:color w:val="000000"/>
          <w:sz w:val="20"/>
          <w:szCs w:val="20"/>
        </w:rPr>
      </w:pPr>
    </w:p>
    <w:p w14:paraId="7AE6CE8A" w14:textId="3258EF58" w:rsidR="0055594B" w:rsidRDefault="0055594B" w:rsidP="00E10543">
      <w:pPr>
        <w:spacing w:line="276" w:lineRule="auto"/>
        <w:ind w:left="426"/>
        <w:jc w:val="both"/>
        <w:rPr>
          <w:rFonts w:ascii="Century Gothic" w:eastAsia="Bookman Old Style" w:hAnsi="Century Gothic" w:cs="Bookman Old Style"/>
          <w:color w:val="000000"/>
          <w:sz w:val="20"/>
          <w:szCs w:val="20"/>
        </w:rPr>
      </w:pPr>
    </w:p>
    <w:p w14:paraId="18E2E068" w14:textId="705A6491" w:rsidR="0055594B" w:rsidRDefault="0055594B" w:rsidP="00E10543">
      <w:pPr>
        <w:spacing w:line="276" w:lineRule="auto"/>
        <w:ind w:left="426"/>
        <w:jc w:val="both"/>
        <w:rPr>
          <w:rFonts w:ascii="Century Gothic" w:eastAsia="Bookman Old Style" w:hAnsi="Century Gothic" w:cs="Bookman Old Style"/>
          <w:color w:val="000000"/>
          <w:sz w:val="20"/>
          <w:szCs w:val="20"/>
        </w:rPr>
      </w:pPr>
    </w:p>
    <w:p w14:paraId="56D10908" w14:textId="55C33DF4" w:rsidR="0055594B" w:rsidRDefault="0055594B" w:rsidP="00E10543">
      <w:pPr>
        <w:spacing w:line="276" w:lineRule="auto"/>
        <w:ind w:left="426"/>
        <w:jc w:val="both"/>
        <w:rPr>
          <w:rFonts w:ascii="Century Gothic" w:eastAsia="Bookman Old Style" w:hAnsi="Century Gothic" w:cs="Bookman Old Style"/>
          <w:color w:val="000000"/>
          <w:sz w:val="20"/>
          <w:szCs w:val="20"/>
        </w:rPr>
      </w:pPr>
    </w:p>
    <w:p w14:paraId="3E2CA371" w14:textId="5E4CBDFF" w:rsidR="0055594B" w:rsidRDefault="0055594B" w:rsidP="00E10543">
      <w:pPr>
        <w:spacing w:line="276" w:lineRule="auto"/>
        <w:ind w:left="426"/>
        <w:jc w:val="both"/>
        <w:rPr>
          <w:rFonts w:ascii="Century Gothic" w:eastAsia="Bookman Old Style" w:hAnsi="Century Gothic" w:cs="Bookman Old Style"/>
          <w:color w:val="000000"/>
          <w:sz w:val="20"/>
          <w:szCs w:val="20"/>
        </w:rPr>
      </w:pPr>
    </w:p>
    <w:p w14:paraId="4121D1C1" w14:textId="21A31F48" w:rsidR="0055594B" w:rsidRDefault="0055594B" w:rsidP="00E10543">
      <w:pPr>
        <w:spacing w:line="276" w:lineRule="auto"/>
        <w:ind w:left="426"/>
        <w:jc w:val="both"/>
        <w:rPr>
          <w:rFonts w:ascii="Century Gothic" w:eastAsia="Bookman Old Style" w:hAnsi="Century Gothic" w:cs="Bookman Old Style"/>
          <w:color w:val="000000"/>
          <w:sz w:val="20"/>
          <w:szCs w:val="20"/>
        </w:rPr>
      </w:pPr>
    </w:p>
    <w:p w14:paraId="09F3D205" w14:textId="7067425E" w:rsidR="0055594B" w:rsidRDefault="0055594B" w:rsidP="00E10543">
      <w:pPr>
        <w:spacing w:line="276" w:lineRule="auto"/>
        <w:ind w:left="426"/>
        <w:jc w:val="both"/>
        <w:rPr>
          <w:rFonts w:ascii="Century Gothic" w:eastAsia="Bookman Old Style" w:hAnsi="Century Gothic" w:cs="Bookman Old Style"/>
          <w:color w:val="000000"/>
          <w:sz w:val="20"/>
          <w:szCs w:val="20"/>
        </w:rPr>
      </w:pPr>
    </w:p>
    <w:p w14:paraId="446A0F74" w14:textId="3090E4D2" w:rsidR="0055594B" w:rsidRDefault="0055594B" w:rsidP="00E10543">
      <w:pPr>
        <w:spacing w:line="276" w:lineRule="auto"/>
        <w:ind w:left="426"/>
        <w:jc w:val="both"/>
        <w:rPr>
          <w:rFonts w:ascii="Century Gothic" w:eastAsia="Bookman Old Style" w:hAnsi="Century Gothic" w:cs="Bookman Old Style"/>
          <w:color w:val="000000"/>
          <w:sz w:val="20"/>
          <w:szCs w:val="20"/>
        </w:rPr>
      </w:pPr>
    </w:p>
    <w:p w14:paraId="41A71915" w14:textId="74747E7E" w:rsidR="0055594B" w:rsidRDefault="0055594B" w:rsidP="00E10543">
      <w:pPr>
        <w:spacing w:line="276" w:lineRule="auto"/>
        <w:ind w:left="426"/>
        <w:jc w:val="both"/>
        <w:rPr>
          <w:rFonts w:ascii="Century Gothic" w:eastAsia="Bookman Old Style" w:hAnsi="Century Gothic" w:cs="Bookman Old Style"/>
          <w:color w:val="000000"/>
          <w:sz w:val="20"/>
          <w:szCs w:val="20"/>
        </w:rPr>
      </w:pPr>
    </w:p>
    <w:p w14:paraId="3425929F" w14:textId="15DA35FC" w:rsidR="0055594B" w:rsidRDefault="0055594B" w:rsidP="00E10543">
      <w:pPr>
        <w:spacing w:line="276" w:lineRule="auto"/>
        <w:ind w:left="426"/>
        <w:jc w:val="both"/>
        <w:rPr>
          <w:rFonts w:ascii="Century Gothic" w:eastAsia="Bookman Old Style" w:hAnsi="Century Gothic" w:cs="Bookman Old Style"/>
          <w:color w:val="000000"/>
          <w:sz w:val="20"/>
          <w:szCs w:val="20"/>
        </w:rPr>
      </w:pPr>
    </w:p>
    <w:p w14:paraId="6F55BA91" w14:textId="1A849D62" w:rsidR="0055594B" w:rsidRDefault="0055594B" w:rsidP="00E10543">
      <w:pPr>
        <w:spacing w:line="276" w:lineRule="auto"/>
        <w:ind w:left="426"/>
        <w:jc w:val="both"/>
        <w:rPr>
          <w:rFonts w:ascii="Century Gothic" w:eastAsia="Bookman Old Style" w:hAnsi="Century Gothic" w:cs="Bookman Old Style"/>
          <w:color w:val="000000"/>
          <w:sz w:val="20"/>
          <w:szCs w:val="20"/>
        </w:rPr>
      </w:pPr>
    </w:p>
    <w:p w14:paraId="6C966615" w14:textId="2C83519E" w:rsidR="0055594B" w:rsidRDefault="0055594B" w:rsidP="00E10543">
      <w:pPr>
        <w:spacing w:line="276" w:lineRule="auto"/>
        <w:ind w:left="426"/>
        <w:jc w:val="both"/>
        <w:rPr>
          <w:rFonts w:ascii="Century Gothic" w:eastAsia="Bookman Old Style" w:hAnsi="Century Gothic" w:cs="Bookman Old Style"/>
          <w:color w:val="000000"/>
          <w:sz w:val="20"/>
          <w:szCs w:val="20"/>
        </w:rPr>
      </w:pPr>
    </w:p>
    <w:p w14:paraId="44DEF37D" w14:textId="0AC8D1B6" w:rsidR="0055594B" w:rsidRDefault="0055594B" w:rsidP="00E10543">
      <w:pPr>
        <w:spacing w:line="276" w:lineRule="auto"/>
        <w:ind w:left="426"/>
        <w:jc w:val="both"/>
        <w:rPr>
          <w:rFonts w:ascii="Century Gothic" w:eastAsia="Bookman Old Style" w:hAnsi="Century Gothic" w:cs="Bookman Old Style"/>
          <w:color w:val="000000"/>
          <w:sz w:val="20"/>
          <w:szCs w:val="20"/>
        </w:rPr>
      </w:pPr>
    </w:p>
    <w:p w14:paraId="5521E4CB" w14:textId="77777777" w:rsidR="0055594B" w:rsidRPr="00E10543" w:rsidRDefault="0055594B" w:rsidP="00E10543">
      <w:pPr>
        <w:spacing w:line="276" w:lineRule="auto"/>
        <w:ind w:left="426"/>
        <w:jc w:val="both"/>
        <w:rPr>
          <w:rFonts w:ascii="Century Gothic" w:eastAsia="Bookman Old Style" w:hAnsi="Century Gothic" w:cs="Bookman Old Style"/>
          <w:color w:val="000000"/>
          <w:sz w:val="20"/>
          <w:szCs w:val="20"/>
        </w:rPr>
      </w:pPr>
    </w:p>
    <w:p w14:paraId="1CA4CF07" w14:textId="64CA7A16" w:rsidR="00E10543" w:rsidRPr="00E10543" w:rsidRDefault="00E10543" w:rsidP="00E10543">
      <w:pPr>
        <w:spacing w:line="276" w:lineRule="auto"/>
        <w:ind w:left="426"/>
        <w:jc w:val="both"/>
        <w:rPr>
          <w:rFonts w:ascii="Century Gothic" w:eastAsia="Bookman Old Style" w:hAnsi="Century Gothic" w:cs="Bookman Old Style"/>
          <w:color w:val="000000"/>
          <w:sz w:val="20"/>
          <w:szCs w:val="20"/>
        </w:rPr>
      </w:pPr>
    </w:p>
    <w:p w14:paraId="46BA8432" w14:textId="1C087381" w:rsidR="00E10543" w:rsidRPr="0055594B" w:rsidRDefault="0055594B" w:rsidP="0055594B">
      <w:pPr>
        <w:spacing w:line="276" w:lineRule="auto"/>
        <w:ind w:left="426"/>
        <w:jc w:val="center"/>
        <w:rPr>
          <w:rFonts w:ascii="Century Gothic" w:eastAsia="Bookman Old Style" w:hAnsi="Century Gothic" w:cs="Bookman Old Style"/>
          <w:b/>
          <w:color w:val="000000"/>
          <w:sz w:val="20"/>
          <w:szCs w:val="20"/>
        </w:rPr>
      </w:pPr>
      <w:r w:rsidRPr="0055594B">
        <w:rPr>
          <w:rFonts w:ascii="Century Gothic" w:eastAsia="Bookman Old Style" w:hAnsi="Century Gothic" w:cs="Bookman Old Style"/>
          <w:b/>
          <w:color w:val="000000"/>
          <w:sz w:val="20"/>
          <w:szCs w:val="20"/>
        </w:rPr>
        <w:t>TEXTO PROPUESTO</w:t>
      </w:r>
      <w:r w:rsidR="00CC1271">
        <w:rPr>
          <w:rFonts w:ascii="Century Gothic" w:eastAsia="Bookman Old Style" w:hAnsi="Century Gothic" w:cs="Bookman Old Style"/>
          <w:b/>
          <w:color w:val="000000"/>
          <w:sz w:val="20"/>
          <w:szCs w:val="20"/>
        </w:rPr>
        <w:t xml:space="preserve"> </w:t>
      </w:r>
      <w:r w:rsidR="00CC1271" w:rsidRPr="00E10543">
        <w:rPr>
          <w:rFonts w:ascii="Century Gothic" w:hAnsi="Century Gothic" w:cstheme="minorHAnsi"/>
          <w:b/>
          <w:sz w:val="20"/>
          <w:szCs w:val="20"/>
        </w:rPr>
        <w:t xml:space="preserve">PARA PRIMER DEBATE AL PROYECTO DE LEY NÚMERO 052 DE 2023 CÁMARA </w:t>
      </w:r>
      <w:r w:rsidR="00CC1271">
        <w:rPr>
          <w:rFonts w:ascii="Century Gothic" w:hAnsi="Century Gothic" w:cstheme="minorHAnsi"/>
          <w:b/>
          <w:sz w:val="20"/>
          <w:szCs w:val="20"/>
        </w:rPr>
        <w:br/>
      </w:r>
    </w:p>
    <w:p w14:paraId="50E91908" w14:textId="329304F8" w:rsidR="00E10543" w:rsidRDefault="00E10543" w:rsidP="00E10543">
      <w:pPr>
        <w:spacing w:line="276" w:lineRule="auto"/>
        <w:ind w:right="49"/>
        <w:jc w:val="center"/>
        <w:rPr>
          <w:rFonts w:ascii="Century Gothic" w:hAnsi="Century Gothic" w:cstheme="minorHAnsi"/>
          <w:b/>
          <w:sz w:val="20"/>
          <w:szCs w:val="20"/>
        </w:rPr>
      </w:pPr>
      <w:bookmarkStart w:id="1" w:name="_GoBack"/>
      <w:bookmarkEnd w:id="1"/>
    </w:p>
    <w:p w14:paraId="4E2FBDA8" w14:textId="4C360EF8" w:rsidR="00E10543" w:rsidRPr="004F7052" w:rsidRDefault="00E10543" w:rsidP="00E10543">
      <w:pPr>
        <w:spacing w:line="276" w:lineRule="auto"/>
        <w:ind w:right="49"/>
        <w:jc w:val="center"/>
        <w:rPr>
          <w:rFonts w:ascii="Century Gothic" w:hAnsi="Century Gothic" w:cstheme="minorHAnsi"/>
          <w:b/>
          <w:sz w:val="20"/>
          <w:szCs w:val="20"/>
        </w:rPr>
      </w:pPr>
      <w:r w:rsidRPr="004F7052">
        <w:rPr>
          <w:rFonts w:ascii="Century Gothic" w:hAnsi="Century Gothic" w:cstheme="minorHAnsi"/>
          <w:b/>
          <w:sz w:val="20"/>
          <w:szCs w:val="20"/>
        </w:rPr>
        <w:t xml:space="preserve"> </w:t>
      </w:r>
      <w:r w:rsidRPr="004F7052">
        <w:rPr>
          <w:rFonts w:ascii="Century Gothic" w:hAnsi="Century Gothic" w:cstheme="minorHAnsi"/>
          <w:i/>
          <w:iCs/>
          <w:sz w:val="20"/>
          <w:szCs w:val="20"/>
        </w:rPr>
        <w:t>“Por medio del cual se incorpora en el Ordenamiento Jurídico Colombiano la violencia vicaria, se modifica la Ley 1257 de 2008 y la Ley 2126 de 2021 y se dictan otras disposiciones</w:t>
      </w:r>
      <w:r w:rsidRPr="004F7052">
        <w:rPr>
          <w:rFonts w:ascii="Century Gothic" w:hAnsi="Century Gothic" w:cstheme="minorHAnsi"/>
          <w:sz w:val="20"/>
          <w:szCs w:val="20"/>
        </w:rPr>
        <w:t>”.</w:t>
      </w:r>
    </w:p>
    <w:p w14:paraId="31542A9A" w14:textId="7DE37374" w:rsidR="005A4FEA" w:rsidRPr="00E10543" w:rsidRDefault="005A4FEA" w:rsidP="00E10543">
      <w:pPr>
        <w:pBdr>
          <w:top w:val="nil"/>
          <w:left w:val="nil"/>
          <w:bottom w:val="nil"/>
          <w:right w:val="nil"/>
          <w:between w:val="nil"/>
        </w:pBdr>
        <w:spacing w:line="276" w:lineRule="auto"/>
        <w:ind w:left="426"/>
        <w:jc w:val="right"/>
        <w:rPr>
          <w:rFonts w:ascii="Century Gothic" w:eastAsia="Bookman Old Style" w:hAnsi="Century Gothic" w:cs="Bookman Old Style"/>
          <w:sz w:val="20"/>
          <w:szCs w:val="20"/>
        </w:rPr>
      </w:pPr>
      <w:r w:rsidRPr="00E10543">
        <w:rPr>
          <w:rFonts w:ascii="Century Gothic" w:eastAsia="Bookman Old Style" w:hAnsi="Century Gothic" w:cs="Bookman Old Style"/>
          <w:sz w:val="20"/>
          <w:szCs w:val="20"/>
        </w:rPr>
        <w:t xml:space="preserve"> </w:t>
      </w:r>
    </w:p>
    <w:p w14:paraId="04F33209" w14:textId="77777777" w:rsidR="005A4FEA" w:rsidRPr="00E10543" w:rsidRDefault="005A4FEA" w:rsidP="00E10543">
      <w:pPr>
        <w:pBdr>
          <w:top w:val="nil"/>
          <w:left w:val="nil"/>
          <w:bottom w:val="nil"/>
          <w:right w:val="nil"/>
          <w:between w:val="nil"/>
        </w:pBdr>
        <w:spacing w:line="276" w:lineRule="auto"/>
        <w:ind w:left="426" w:right="40"/>
        <w:jc w:val="center"/>
        <w:rPr>
          <w:rFonts w:ascii="Century Gothic" w:eastAsia="Bookman Old Style" w:hAnsi="Century Gothic" w:cs="Bookman Old Style"/>
          <w:sz w:val="20"/>
          <w:szCs w:val="20"/>
        </w:rPr>
      </w:pPr>
      <w:r w:rsidRPr="00E10543">
        <w:rPr>
          <w:rFonts w:ascii="Century Gothic" w:eastAsia="Bookman Old Style" w:hAnsi="Century Gothic" w:cs="Bookman Old Style"/>
          <w:sz w:val="20"/>
          <w:szCs w:val="20"/>
        </w:rPr>
        <w:t>El Congreso de Colombia</w:t>
      </w:r>
    </w:p>
    <w:p w14:paraId="4343DF69" w14:textId="77777777" w:rsidR="005A4FEA" w:rsidRPr="00E10543" w:rsidRDefault="005A4FEA" w:rsidP="00E10543">
      <w:pPr>
        <w:pBdr>
          <w:top w:val="nil"/>
          <w:left w:val="nil"/>
          <w:bottom w:val="nil"/>
          <w:right w:val="nil"/>
          <w:between w:val="nil"/>
        </w:pBdr>
        <w:spacing w:line="276" w:lineRule="auto"/>
        <w:ind w:left="426" w:right="40"/>
        <w:rPr>
          <w:rFonts w:ascii="Century Gothic" w:eastAsia="Bookman Old Style" w:hAnsi="Century Gothic" w:cs="Bookman Old Style"/>
          <w:sz w:val="20"/>
          <w:szCs w:val="20"/>
        </w:rPr>
      </w:pPr>
      <w:r w:rsidRPr="00E10543">
        <w:rPr>
          <w:rFonts w:ascii="Century Gothic" w:eastAsia="Bookman Old Style" w:hAnsi="Century Gothic" w:cs="Bookman Old Style"/>
          <w:sz w:val="20"/>
          <w:szCs w:val="20"/>
        </w:rPr>
        <w:t xml:space="preserve"> </w:t>
      </w:r>
    </w:p>
    <w:p w14:paraId="1DDE989D" w14:textId="111D694B" w:rsidR="005A4FEA" w:rsidRDefault="005A4FEA" w:rsidP="00E10543">
      <w:pPr>
        <w:pBdr>
          <w:top w:val="nil"/>
          <w:left w:val="nil"/>
          <w:bottom w:val="nil"/>
          <w:right w:val="nil"/>
          <w:between w:val="nil"/>
        </w:pBdr>
        <w:spacing w:line="276" w:lineRule="auto"/>
        <w:ind w:left="426" w:right="40"/>
        <w:jc w:val="center"/>
        <w:rPr>
          <w:rFonts w:ascii="Century Gothic" w:eastAsia="Bookman Old Style" w:hAnsi="Century Gothic" w:cs="Bookman Old Style"/>
          <w:sz w:val="20"/>
          <w:szCs w:val="20"/>
        </w:rPr>
      </w:pPr>
      <w:r w:rsidRPr="00E10543">
        <w:rPr>
          <w:rFonts w:ascii="Century Gothic" w:eastAsia="Bookman Old Style" w:hAnsi="Century Gothic" w:cs="Bookman Old Style"/>
          <w:sz w:val="20"/>
          <w:szCs w:val="20"/>
        </w:rPr>
        <w:t>DECRETA:</w:t>
      </w:r>
    </w:p>
    <w:p w14:paraId="305D0ADC" w14:textId="77777777" w:rsidR="00E10543" w:rsidRPr="00E10543" w:rsidRDefault="00E10543" w:rsidP="00E10543">
      <w:pPr>
        <w:pBdr>
          <w:top w:val="nil"/>
          <w:left w:val="nil"/>
          <w:bottom w:val="nil"/>
          <w:right w:val="nil"/>
          <w:between w:val="nil"/>
        </w:pBdr>
        <w:spacing w:line="276" w:lineRule="auto"/>
        <w:ind w:left="426" w:right="40"/>
        <w:jc w:val="center"/>
        <w:rPr>
          <w:rFonts w:ascii="Century Gothic" w:eastAsia="Bookman Old Style" w:hAnsi="Century Gothic" w:cs="Bookman Old Style"/>
          <w:sz w:val="20"/>
          <w:szCs w:val="20"/>
        </w:rPr>
      </w:pPr>
    </w:p>
    <w:p w14:paraId="217A7446"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E10543">
        <w:rPr>
          <w:rFonts w:ascii="Century Gothic" w:eastAsia="Century Gothic" w:hAnsi="Century Gothic" w:cs="Century Gothic"/>
          <w:b/>
          <w:color w:val="000000"/>
          <w:sz w:val="20"/>
          <w:szCs w:val="20"/>
          <w:lang w:val="es"/>
        </w:rPr>
        <w:t>ARTÍCULO 1.</w:t>
      </w:r>
      <w:r w:rsidRPr="00E10543">
        <w:rPr>
          <w:rFonts w:ascii="Century Gothic" w:eastAsia="Century Gothic" w:hAnsi="Century Gothic" w:cs="Century Gothic"/>
          <w:color w:val="000000"/>
          <w:sz w:val="20"/>
          <w:szCs w:val="20"/>
          <w:lang w:val="es"/>
        </w:rPr>
        <w:t xml:space="preserve"> Objeto Reconocer e incorporar en el ordenamiento jurídico Colombiano la Violencia Vicaria como una violencia basada en género, lo que permitirá prevenirla, atenderla de forma integral y garantizar el acceso efectivo a la justicia, reparación, restauración y no repetición a las víctimas de este tipo de violencia en el marco de la protección a los Derechos Humanos.</w:t>
      </w:r>
    </w:p>
    <w:p w14:paraId="71CB59C6"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213FF18D" w14:textId="2CFF3A86" w:rsid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E10543">
        <w:rPr>
          <w:rFonts w:ascii="Century Gothic" w:eastAsia="Century Gothic" w:hAnsi="Century Gothic" w:cs="Century Gothic"/>
          <w:b/>
          <w:color w:val="000000"/>
          <w:sz w:val="20"/>
          <w:szCs w:val="20"/>
          <w:lang w:val="es"/>
        </w:rPr>
        <w:t>ARTÍCULO 2:</w:t>
      </w:r>
      <w:r w:rsidRPr="00E10543">
        <w:rPr>
          <w:rFonts w:ascii="Century Gothic" w:eastAsia="Century Gothic" w:hAnsi="Century Gothic" w:cs="Century Gothic"/>
          <w:color w:val="000000"/>
          <w:sz w:val="20"/>
          <w:szCs w:val="20"/>
          <w:lang w:val="es"/>
        </w:rPr>
        <w:t xml:space="preserve"> Adiciónese un inciso al artículo 2 de la Ley 1257 DE 2008</w:t>
      </w:r>
      <w:r>
        <w:rPr>
          <w:rFonts w:ascii="Century Gothic" w:eastAsia="Century Gothic" w:hAnsi="Century Gothic" w:cs="Century Gothic"/>
          <w:color w:val="000000"/>
          <w:sz w:val="20"/>
          <w:szCs w:val="20"/>
          <w:lang w:val="es"/>
        </w:rPr>
        <w:t xml:space="preserve">: </w:t>
      </w:r>
    </w:p>
    <w:p w14:paraId="4DB6648C"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2D226200" w14:textId="4866E911" w:rsidR="00E10543" w:rsidRPr="00E10543" w:rsidRDefault="00E10543" w:rsidP="00E10543">
      <w:pPr>
        <w:spacing w:line="276" w:lineRule="auto"/>
        <w:ind w:left="426"/>
        <w:jc w:val="both"/>
        <w:rPr>
          <w:rFonts w:ascii="Century Gothic" w:eastAsia="Century Gothic" w:hAnsi="Century Gothic" w:cs="Century Gothic"/>
          <w:color w:val="000000"/>
          <w:sz w:val="20"/>
          <w:szCs w:val="20"/>
          <w:u w:val="single"/>
          <w:lang w:val="es"/>
        </w:rPr>
      </w:pPr>
      <w:r w:rsidRPr="00E10543">
        <w:rPr>
          <w:rFonts w:ascii="Century Gothic" w:eastAsia="Century Gothic" w:hAnsi="Century Gothic" w:cs="Century Gothic"/>
          <w:color w:val="000000"/>
          <w:sz w:val="20"/>
          <w:szCs w:val="20"/>
          <w:lang w:val="es"/>
        </w:rPr>
        <w:t>ARTÍCULO 2o. DEFINICIÓN DE VIOLENCIA CONTRA LA MUJER.</w:t>
      </w:r>
      <w:r>
        <w:rPr>
          <w:rFonts w:ascii="Century Gothic" w:eastAsia="Century Gothic" w:hAnsi="Century Gothic" w:cs="Century Gothic"/>
          <w:color w:val="000000"/>
          <w:sz w:val="20"/>
          <w:szCs w:val="20"/>
          <w:lang w:val="es"/>
        </w:rPr>
        <w:tab/>
      </w:r>
      <w:r w:rsidRPr="00E10543">
        <w:rPr>
          <w:rFonts w:ascii="Century Gothic" w:eastAsia="Century Gothic" w:hAnsi="Century Gothic" w:cs="Century Gothic"/>
          <w:color w:val="000000"/>
          <w:sz w:val="20"/>
          <w:szCs w:val="20"/>
          <w:lang w:val="es"/>
        </w:rPr>
        <w:t xml:space="preserve"> </w:t>
      </w:r>
      <w:r>
        <w:rPr>
          <w:rFonts w:ascii="Century Gothic" w:eastAsia="Century Gothic" w:hAnsi="Century Gothic" w:cs="Century Gothic"/>
          <w:color w:val="000000"/>
          <w:sz w:val="20"/>
          <w:szCs w:val="20"/>
          <w:lang w:val="es"/>
        </w:rPr>
        <w:br/>
      </w:r>
    </w:p>
    <w:p w14:paraId="1B16612F" w14:textId="205A1BAA"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E10543">
        <w:rPr>
          <w:rFonts w:ascii="Century Gothic" w:eastAsia="Century Gothic" w:hAnsi="Century Gothic" w:cs="Century Gothic"/>
          <w:color w:val="000000"/>
          <w:sz w:val="20"/>
          <w:szCs w:val="20"/>
          <w:lang w:val="es"/>
        </w:rPr>
        <w:t>La violencia vicaria es una violencia de género. Se entiende por violencia vicaria cualquier acción u omisión que genere daño físico, psicológico, emocional, sexual, patrimonial o de cualquier otra índole a familiares, dependientes, personas, animales o objetos afectivamente significativas para la mujer con el objetivo de causarle daño. La violencia vicaria se expresa a través de conductas tales como las amenazas verbales, violencia sexual, lesiones, el incumplimiento del régimen de visitas, la omisión de información en el ejercicio de la custodia, el ejercicio arbitrario de la custodia, la imputación de hechos delictuosos falsos, la dilación procesal injustificada, control coercitivo o cualquier otra conducta que sea utilizada para dañar a la mujer a través de quienes fungieron como medio.</w:t>
      </w:r>
    </w:p>
    <w:p w14:paraId="3E6E8B57"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u w:val="single"/>
          <w:lang w:val="es"/>
        </w:rPr>
      </w:pPr>
    </w:p>
    <w:p w14:paraId="449B10FB"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E10543">
        <w:rPr>
          <w:rFonts w:ascii="Century Gothic" w:eastAsia="Century Gothic" w:hAnsi="Century Gothic" w:cs="Century Gothic"/>
          <w:b/>
          <w:color w:val="000000"/>
          <w:sz w:val="20"/>
          <w:szCs w:val="20"/>
          <w:lang w:val="es"/>
        </w:rPr>
        <w:t>ARTÍCULO 3:</w:t>
      </w:r>
      <w:r w:rsidRPr="00E10543">
        <w:rPr>
          <w:rFonts w:ascii="Century Gothic" w:eastAsia="Century Gothic" w:hAnsi="Century Gothic" w:cs="Century Gothic"/>
          <w:color w:val="000000"/>
          <w:sz w:val="20"/>
          <w:szCs w:val="20"/>
          <w:lang w:val="es"/>
        </w:rPr>
        <w:t xml:space="preserve"> Adiciónese el siguiente artículo a la Ley 1257 de 2008:</w:t>
      </w:r>
    </w:p>
    <w:p w14:paraId="0BE73CE9"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41187450" w14:textId="450C6DB1"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E10543">
        <w:rPr>
          <w:rFonts w:ascii="Century Gothic" w:eastAsia="Century Gothic" w:hAnsi="Century Gothic" w:cs="Century Gothic"/>
          <w:color w:val="000000"/>
          <w:sz w:val="20"/>
          <w:szCs w:val="20"/>
          <w:lang w:val="es"/>
        </w:rPr>
        <w:t xml:space="preserve">ARTÍCULO 11A. Crear y desarrollar  el proceso de formación obligatoria sobre derechos de la mujer, identidad de género, enfoque de género y violencias basadas en género para los funcionarios públicos en todos sus niveles y jerarquías en el Ministerio Público, la Policía Nacional, el Instituto Colombiano de Bienestar Familiar y las entidades y jurisdicciones de la rama Judicial de la Nación, en especial la Fiscalía General de la Nación y el Instituto Nacional de Medicina Legal y ciencias Forenses. Las entidades mencionadas deberán adoptar en un (1) año a partir de la promulgación de la presente Ley el proceso de formación en observancia a los lineamientos que se desarrollen. </w:t>
      </w:r>
    </w:p>
    <w:p w14:paraId="6232E758"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55E20358"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E10543">
        <w:rPr>
          <w:rFonts w:ascii="Century Gothic" w:eastAsia="Century Gothic" w:hAnsi="Century Gothic" w:cs="Century Gothic"/>
          <w:color w:val="000000"/>
          <w:sz w:val="20"/>
          <w:szCs w:val="20"/>
          <w:lang w:val="es"/>
        </w:rPr>
        <w:t xml:space="preserve">Las entidades territoriales deberán adoptar en un (1) año a partir de la promulgación de la presente Ley el proceso de formación sobre derechos de la mujer, identidad de género, enfoque de género y violencias basadas en género para los funcionarios de las inspecciones de policía, personerías locales y comisarías de familia. La entidad territorial correspondiente establecerá los contenidos del proceso en observancia a los lineamientos que se desarrollen, garantizando un enfoque territorial. </w:t>
      </w:r>
    </w:p>
    <w:p w14:paraId="5AA721C8"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58C7D530" w14:textId="12AC191C"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5A6B1D">
        <w:rPr>
          <w:rFonts w:ascii="Century Gothic" w:eastAsia="Century Gothic" w:hAnsi="Century Gothic" w:cs="Century Gothic"/>
          <w:b/>
          <w:color w:val="000000"/>
          <w:sz w:val="20"/>
          <w:szCs w:val="20"/>
          <w:lang w:val="es"/>
        </w:rPr>
        <w:t>PARÁGRAFO 1</w:t>
      </w:r>
      <w:r w:rsidRPr="00E10543">
        <w:rPr>
          <w:rFonts w:ascii="Century Gothic" w:eastAsia="Century Gothic" w:hAnsi="Century Gothic" w:cs="Century Gothic"/>
          <w:color w:val="000000"/>
          <w:sz w:val="20"/>
          <w:szCs w:val="20"/>
          <w:lang w:val="es"/>
        </w:rPr>
        <w:t xml:space="preserve">. El Ministerio de la Igualdad y Equidad en coordinación con el Ministerio de Justicia y del Derecho y el Departamento Administrativo de la Función Pública </w:t>
      </w:r>
      <w:r w:rsidRPr="00E10543">
        <w:rPr>
          <w:rFonts w:ascii="Century Gothic" w:eastAsia="Century Gothic" w:hAnsi="Century Gothic" w:cs="Century Gothic"/>
          <w:color w:val="000000"/>
          <w:sz w:val="20"/>
          <w:szCs w:val="20"/>
          <w:lang w:val="es"/>
        </w:rPr>
        <w:lastRenderedPageBreak/>
        <w:t xml:space="preserve">establecerán los lineamientos del proceso de formación para los funcionarios públicos mencionados en el presente artículo en (6) meses a partir de la promulgación de la presente Ley. </w:t>
      </w:r>
    </w:p>
    <w:p w14:paraId="054A82FC"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168FAA48"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E10543">
        <w:rPr>
          <w:rFonts w:ascii="Century Gothic" w:eastAsia="Century Gothic" w:hAnsi="Century Gothic" w:cs="Century Gothic"/>
          <w:color w:val="000000"/>
          <w:sz w:val="20"/>
          <w:szCs w:val="20"/>
          <w:lang w:val="es"/>
        </w:rPr>
        <w:t>Los lineamientos que se desarrollen para el proceso de formación deberán contar con la participación de la sociedad civil, en especial con la participación de víctimas de violencia de género, víctimas de violencia vicaria, organizaciones que trabajan por el empoderamiento y en defensa de derechos de las mujeres y organizaciones que trabajan en defensa de los derechos de las identidades de género diversas.</w:t>
      </w:r>
    </w:p>
    <w:p w14:paraId="2084507E"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0F10BE6E"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5A6B1D">
        <w:rPr>
          <w:rFonts w:ascii="Century Gothic" w:eastAsia="Century Gothic" w:hAnsi="Century Gothic" w:cs="Century Gothic"/>
          <w:b/>
          <w:color w:val="000000"/>
          <w:sz w:val="20"/>
          <w:szCs w:val="20"/>
          <w:lang w:val="es"/>
        </w:rPr>
        <w:t>PARÁGRAFO 2.</w:t>
      </w:r>
      <w:r w:rsidRPr="00E10543">
        <w:rPr>
          <w:rFonts w:ascii="Century Gothic" w:eastAsia="Century Gothic" w:hAnsi="Century Gothic" w:cs="Century Gothic"/>
          <w:color w:val="000000"/>
          <w:sz w:val="20"/>
          <w:szCs w:val="20"/>
          <w:lang w:val="es"/>
        </w:rPr>
        <w:t xml:space="preserve"> El desarrollo y ejecución del proceso de formación se garantizará con recursos de la entidad correspondiente. </w:t>
      </w:r>
    </w:p>
    <w:p w14:paraId="10662E79"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3B118763"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5A6B1D">
        <w:rPr>
          <w:rFonts w:ascii="Century Gothic" w:eastAsia="Century Gothic" w:hAnsi="Century Gothic" w:cs="Century Gothic"/>
          <w:b/>
          <w:color w:val="000000"/>
          <w:sz w:val="20"/>
          <w:szCs w:val="20"/>
          <w:lang w:val="es"/>
        </w:rPr>
        <w:t>ARTÍCULO 4:</w:t>
      </w:r>
      <w:r w:rsidRPr="00E10543">
        <w:rPr>
          <w:rFonts w:ascii="Century Gothic" w:eastAsia="Century Gothic" w:hAnsi="Century Gothic" w:cs="Century Gothic"/>
          <w:color w:val="000000"/>
          <w:sz w:val="20"/>
          <w:szCs w:val="20"/>
          <w:lang w:val="es"/>
        </w:rPr>
        <w:t xml:space="preserve"> Adiciónese el siguiente artículo a la Ley 1257 de 2008:</w:t>
      </w:r>
    </w:p>
    <w:p w14:paraId="2A83B9FB"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1A82A3EF"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E10543">
        <w:rPr>
          <w:rFonts w:ascii="Century Gothic" w:eastAsia="Century Gothic" w:hAnsi="Century Gothic" w:cs="Century Gothic"/>
          <w:color w:val="000000"/>
          <w:sz w:val="20"/>
          <w:szCs w:val="20"/>
          <w:lang w:val="es"/>
        </w:rPr>
        <w:t>ARTÍCULO 18A. En concordancia con lo establecido en el artículo 3.8 b Decreto 4799 de 2011, la Policía Nacional adoptará con asistencia técnica de la Alta Consejería para la Equidad de la Mujer o quien haga sus veces y el Ministerio de la Igualdad y Equidad, el Registro Nacional de las Medidas de Protección ordenadas por las autoridades competentes bajo el mandato de la Ley 1257 de 2008 en un plazo máximo de seis (6) meses a partir de la promulgación de la presente Ley.</w:t>
      </w:r>
    </w:p>
    <w:p w14:paraId="20D7C1D2"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10335F65"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5A6B1D">
        <w:rPr>
          <w:rFonts w:ascii="Century Gothic" w:eastAsia="Century Gothic" w:hAnsi="Century Gothic" w:cs="Century Gothic"/>
          <w:b/>
          <w:color w:val="000000"/>
          <w:sz w:val="20"/>
          <w:szCs w:val="20"/>
          <w:lang w:val="es"/>
        </w:rPr>
        <w:t>PARÁGRAFO</w:t>
      </w:r>
      <w:r w:rsidRPr="00E10543">
        <w:rPr>
          <w:rFonts w:ascii="Century Gothic" w:eastAsia="Century Gothic" w:hAnsi="Century Gothic" w:cs="Century Gothic"/>
          <w:color w:val="000000"/>
          <w:sz w:val="20"/>
          <w:szCs w:val="20"/>
          <w:lang w:val="es"/>
        </w:rPr>
        <w:t>. La Policía Nacional dispondrá en su Página Web el número de medidas de protección ordenadas bajo la Ley 1257 de 2008, protegiendo los datos personales y el derecho a la intimidad de las personas involucradas de acuerdo a lo establecido en la Ley 1581 de 2012 y demás leyes aplicables.</w:t>
      </w:r>
    </w:p>
    <w:p w14:paraId="1DDF71D2"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201E4DBF"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5A6B1D">
        <w:rPr>
          <w:rFonts w:ascii="Century Gothic" w:eastAsia="Century Gothic" w:hAnsi="Century Gothic" w:cs="Century Gothic"/>
          <w:b/>
          <w:color w:val="000000"/>
          <w:sz w:val="20"/>
          <w:szCs w:val="20"/>
          <w:lang w:val="es"/>
        </w:rPr>
        <w:t>ARTÍCULO 5</w:t>
      </w:r>
      <w:r w:rsidRPr="00E10543">
        <w:rPr>
          <w:rFonts w:ascii="Century Gothic" w:eastAsia="Century Gothic" w:hAnsi="Century Gothic" w:cs="Century Gothic"/>
          <w:color w:val="000000"/>
          <w:sz w:val="20"/>
          <w:szCs w:val="20"/>
          <w:lang w:val="es"/>
        </w:rPr>
        <w:t>: Adiciónese el siguiente artículo a la Ley 1257 de 2008:</w:t>
      </w:r>
    </w:p>
    <w:p w14:paraId="459964AA"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28B7A427" w14:textId="6196897F"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E10543">
        <w:rPr>
          <w:rFonts w:ascii="Century Gothic" w:eastAsia="Century Gothic" w:hAnsi="Century Gothic" w:cs="Century Gothic"/>
          <w:color w:val="000000"/>
          <w:sz w:val="20"/>
          <w:szCs w:val="20"/>
          <w:lang w:val="es"/>
        </w:rPr>
        <w:t xml:space="preserve">Artículo 10A. </w:t>
      </w:r>
      <w:r w:rsidR="005A6B1D" w:rsidRPr="00E10543">
        <w:rPr>
          <w:rFonts w:ascii="Century Gothic" w:eastAsia="Century Gothic" w:hAnsi="Century Gothic" w:cs="Century Gothic"/>
          <w:color w:val="000000"/>
          <w:sz w:val="20"/>
          <w:szCs w:val="20"/>
          <w:lang w:val="es"/>
        </w:rPr>
        <w:t>Encárguese</w:t>
      </w:r>
      <w:r w:rsidRPr="00E10543">
        <w:rPr>
          <w:rFonts w:ascii="Century Gothic" w:eastAsia="Century Gothic" w:hAnsi="Century Gothic" w:cs="Century Gothic"/>
          <w:color w:val="000000"/>
          <w:sz w:val="20"/>
          <w:szCs w:val="20"/>
          <w:lang w:val="es"/>
        </w:rPr>
        <w:t xml:space="preserve"> a la Radio Televisión Nacional de Colombia (</w:t>
      </w:r>
      <w:r w:rsidR="005A6B1D" w:rsidRPr="00E10543">
        <w:rPr>
          <w:rFonts w:ascii="Century Gothic" w:eastAsia="Century Gothic" w:hAnsi="Century Gothic" w:cs="Century Gothic"/>
          <w:color w:val="000000"/>
          <w:sz w:val="20"/>
          <w:szCs w:val="20"/>
          <w:lang w:val="es"/>
        </w:rPr>
        <w:t>RTVC) producir</w:t>
      </w:r>
      <w:r w:rsidRPr="00E10543">
        <w:rPr>
          <w:rFonts w:ascii="Century Gothic" w:eastAsia="Century Gothic" w:hAnsi="Century Gothic" w:cs="Century Gothic"/>
          <w:color w:val="000000"/>
          <w:sz w:val="20"/>
          <w:szCs w:val="20"/>
          <w:lang w:val="es"/>
        </w:rPr>
        <w:t xml:space="preserve"> y emitir contenido que contribuyan a erradicar la violencia contra las mujeres y las violencias fundadas en la identidad de género. Dichos contenidos deberán abordar la magnitud de la violencia de género en Colombia y la violencia vicaria como una expresión de la misma. </w:t>
      </w:r>
    </w:p>
    <w:p w14:paraId="28213034"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1C431209"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5A6B1D">
        <w:rPr>
          <w:rFonts w:ascii="Century Gothic" w:eastAsia="Century Gothic" w:hAnsi="Century Gothic" w:cs="Century Gothic"/>
          <w:b/>
          <w:color w:val="000000"/>
          <w:sz w:val="20"/>
          <w:szCs w:val="20"/>
          <w:lang w:val="es"/>
        </w:rPr>
        <w:t>Parágrafo:</w:t>
      </w:r>
      <w:r w:rsidRPr="00E10543">
        <w:rPr>
          <w:rFonts w:ascii="Century Gothic" w:eastAsia="Century Gothic" w:hAnsi="Century Gothic" w:cs="Century Gothic"/>
          <w:color w:val="000000"/>
          <w:sz w:val="20"/>
          <w:szCs w:val="20"/>
          <w:lang w:val="es"/>
        </w:rPr>
        <w:t xml:space="preserve"> Se faculta a las autoridades territoriales del orden municipal, distrital y departamental a reproducir estos contenidos en el espacio público, en transporte público y en medios locales de comunicación.</w:t>
      </w:r>
    </w:p>
    <w:p w14:paraId="5417A043"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296BFEA3"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5A6B1D">
        <w:rPr>
          <w:rFonts w:ascii="Century Gothic" w:eastAsia="Century Gothic" w:hAnsi="Century Gothic" w:cs="Century Gothic"/>
          <w:b/>
          <w:color w:val="000000"/>
          <w:sz w:val="20"/>
          <w:szCs w:val="20"/>
          <w:lang w:val="es"/>
        </w:rPr>
        <w:t>ARTÍCULO 6:</w:t>
      </w:r>
      <w:r w:rsidRPr="00E10543">
        <w:rPr>
          <w:rFonts w:ascii="Century Gothic" w:eastAsia="Century Gothic" w:hAnsi="Century Gothic" w:cs="Century Gothic"/>
          <w:color w:val="000000"/>
          <w:sz w:val="20"/>
          <w:szCs w:val="20"/>
          <w:lang w:val="es"/>
        </w:rPr>
        <w:t xml:space="preserve"> En concordancia con el artículo 2 de la Ley 2126 de 2021, las Comisarías de Familia son las entidades encargadas de brindar atención especializada e interdisciplinaria para prevenir, proteger, restablecer, reparar y garantizar los derechos de quienes estén en riesgo, sean o hayan sido víctimas de violencia por razones de género en el contexto familiar, incluyendo la violencia vicaria en el contexto familiar.</w:t>
      </w:r>
    </w:p>
    <w:p w14:paraId="2F1473F4"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3EB12F15" w14:textId="39E1C2D7" w:rsid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5A6B1D">
        <w:rPr>
          <w:rFonts w:ascii="Century Gothic" w:eastAsia="Century Gothic" w:hAnsi="Century Gothic" w:cs="Century Gothic"/>
          <w:b/>
          <w:color w:val="000000"/>
          <w:sz w:val="20"/>
          <w:szCs w:val="20"/>
          <w:lang w:val="es"/>
        </w:rPr>
        <w:t>ARTÍCULO 7:</w:t>
      </w:r>
      <w:r w:rsidRPr="00E10543">
        <w:rPr>
          <w:rFonts w:ascii="Century Gothic" w:eastAsia="Century Gothic" w:hAnsi="Century Gothic" w:cs="Century Gothic"/>
          <w:color w:val="000000"/>
          <w:sz w:val="20"/>
          <w:szCs w:val="20"/>
          <w:lang w:val="es"/>
        </w:rPr>
        <w:t xml:space="preserve"> Modifíquese el literal f, i y el parágrafo 4 del Artículo 5° de la Ley 294 de 1996: </w:t>
      </w:r>
    </w:p>
    <w:p w14:paraId="24FC8F18" w14:textId="77777777" w:rsidR="005A6B1D" w:rsidRPr="00E10543" w:rsidRDefault="005A6B1D" w:rsidP="00E10543">
      <w:pPr>
        <w:spacing w:line="276" w:lineRule="auto"/>
        <w:ind w:left="426"/>
        <w:jc w:val="both"/>
        <w:rPr>
          <w:rFonts w:ascii="Century Gothic" w:eastAsia="Century Gothic" w:hAnsi="Century Gothic" w:cs="Century Gothic"/>
          <w:color w:val="000000"/>
          <w:sz w:val="20"/>
          <w:szCs w:val="20"/>
          <w:lang w:val="es"/>
        </w:rPr>
      </w:pPr>
    </w:p>
    <w:p w14:paraId="2E68117F" w14:textId="2726EE13" w:rsid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E10543">
        <w:rPr>
          <w:rFonts w:ascii="Century Gothic" w:eastAsia="Century Gothic" w:hAnsi="Century Gothic" w:cs="Century Gothic"/>
          <w:color w:val="000000"/>
          <w:sz w:val="20"/>
          <w:szCs w:val="20"/>
          <w:lang w:val="es"/>
        </w:rPr>
        <w:t>ARTÍCULO 5°.</w:t>
      </w:r>
      <w:r w:rsidRPr="00E10543">
        <w:rPr>
          <w:rFonts w:ascii="Century Gothic" w:eastAsia="Century Gothic" w:hAnsi="Century Gothic" w:cs="Century Gothic"/>
          <w:i/>
          <w:color w:val="000000"/>
          <w:sz w:val="20"/>
          <w:szCs w:val="20"/>
          <w:lang w:val="es"/>
        </w:rPr>
        <w:t xml:space="preserve"> Medidas de protección en casos de violencia intrafamiliar.</w:t>
      </w:r>
      <w:r w:rsidRPr="00E10543">
        <w:rPr>
          <w:rFonts w:ascii="Century Gothic" w:eastAsia="Century Gothic" w:hAnsi="Century Gothic" w:cs="Century Gothic"/>
          <w:color w:val="000000"/>
          <w:sz w:val="20"/>
          <w:szCs w:val="20"/>
          <w:lang w:val="es"/>
        </w:rPr>
        <w:t xml:space="preserve"> </w:t>
      </w:r>
    </w:p>
    <w:p w14:paraId="1B8828D2" w14:textId="77777777" w:rsidR="005A6B1D" w:rsidRPr="00E10543" w:rsidRDefault="005A6B1D" w:rsidP="00E10543">
      <w:pPr>
        <w:spacing w:line="276" w:lineRule="auto"/>
        <w:ind w:left="426"/>
        <w:jc w:val="both"/>
        <w:rPr>
          <w:rFonts w:ascii="Century Gothic" w:eastAsia="Century Gothic" w:hAnsi="Century Gothic" w:cs="Century Gothic"/>
          <w:color w:val="000000"/>
          <w:sz w:val="20"/>
          <w:szCs w:val="20"/>
          <w:lang w:val="es"/>
        </w:rPr>
      </w:pPr>
    </w:p>
    <w:p w14:paraId="6973F8F2" w14:textId="587E9D91" w:rsidR="00E10543" w:rsidRPr="005A6B1D" w:rsidRDefault="00E10543" w:rsidP="00E10543">
      <w:pPr>
        <w:spacing w:line="276" w:lineRule="auto"/>
        <w:ind w:left="426"/>
        <w:jc w:val="both"/>
        <w:rPr>
          <w:rFonts w:ascii="Century Gothic" w:eastAsia="Century Gothic" w:hAnsi="Century Gothic" w:cs="Century Gothic"/>
          <w:color w:val="000000"/>
          <w:sz w:val="20"/>
          <w:szCs w:val="20"/>
          <w:lang w:val="es"/>
        </w:rPr>
      </w:pPr>
      <w:r w:rsidRPr="00E10543">
        <w:rPr>
          <w:rFonts w:ascii="Century Gothic" w:eastAsia="Century Gothic" w:hAnsi="Century Gothic" w:cs="Century Gothic"/>
          <w:color w:val="000000"/>
          <w:sz w:val="20"/>
          <w:szCs w:val="20"/>
          <w:lang w:val="es"/>
        </w:rPr>
        <w:t xml:space="preserve">f). Cuando la violencia o maltrato revista gravedad y se tema su repetición, la autoridad competente ordenará una protección temporal especial de la víctima por parte de las autoridades de policía, tanto en su domicilio como en su lugar de trabajo, si lo tuviere. </w:t>
      </w:r>
      <w:r w:rsidRPr="005A6B1D">
        <w:rPr>
          <w:rFonts w:ascii="Century Gothic" w:eastAsia="Century Gothic" w:hAnsi="Century Gothic" w:cs="Century Gothic"/>
          <w:color w:val="000000"/>
          <w:sz w:val="20"/>
          <w:szCs w:val="20"/>
          <w:lang w:val="es"/>
        </w:rPr>
        <w:t xml:space="preserve">En caso de violencia vicaria en el contexto familiar la medida de protección deberá extenderse al familiar instrumentalizado como medio para ejercer </w:t>
      </w:r>
      <w:r w:rsidRPr="005A6B1D">
        <w:rPr>
          <w:rFonts w:ascii="Century Gothic" w:eastAsia="Century Gothic" w:hAnsi="Century Gothic" w:cs="Century Gothic"/>
          <w:color w:val="000000"/>
          <w:sz w:val="20"/>
          <w:szCs w:val="20"/>
          <w:lang w:val="es"/>
        </w:rPr>
        <w:lastRenderedPageBreak/>
        <w:t>daño a la mujer.</w:t>
      </w:r>
      <w:r w:rsidR="005A6B1D">
        <w:rPr>
          <w:rFonts w:ascii="Century Gothic" w:eastAsia="Century Gothic" w:hAnsi="Century Gothic" w:cs="Century Gothic"/>
          <w:color w:val="000000"/>
          <w:sz w:val="20"/>
          <w:szCs w:val="20"/>
          <w:lang w:val="es"/>
        </w:rPr>
        <w:tab/>
      </w:r>
      <w:r w:rsidR="005A6B1D">
        <w:rPr>
          <w:rFonts w:ascii="Century Gothic" w:eastAsia="Century Gothic" w:hAnsi="Century Gothic" w:cs="Century Gothic"/>
          <w:color w:val="000000"/>
          <w:sz w:val="20"/>
          <w:szCs w:val="20"/>
          <w:lang w:val="es"/>
        </w:rPr>
        <w:br/>
      </w:r>
    </w:p>
    <w:p w14:paraId="21224484" w14:textId="2A5BDB40" w:rsidR="00E10543" w:rsidRPr="005A6B1D" w:rsidRDefault="00E10543" w:rsidP="00E10543">
      <w:pPr>
        <w:spacing w:line="276" w:lineRule="auto"/>
        <w:ind w:left="426"/>
        <w:jc w:val="both"/>
        <w:rPr>
          <w:rFonts w:ascii="Century Gothic" w:eastAsia="Century Gothic" w:hAnsi="Century Gothic" w:cs="Century Gothic"/>
          <w:color w:val="000000"/>
          <w:sz w:val="20"/>
          <w:szCs w:val="20"/>
          <w:lang w:val="es"/>
        </w:rPr>
      </w:pPr>
      <w:r w:rsidRPr="005A6B1D">
        <w:rPr>
          <w:rFonts w:ascii="Century Gothic" w:eastAsia="Century Gothic" w:hAnsi="Century Gothic" w:cs="Century Gothic"/>
          <w:color w:val="000000"/>
          <w:sz w:val="20"/>
          <w:szCs w:val="20"/>
          <w:lang w:val="es"/>
        </w:rPr>
        <w:t>i). En caso de evidenciar violencia vicaria en el contexto familiar, restringir provisionalmente el régimen de visitas y custodia al padre, hasta que no aporte certificación de tratamiento reeducativo y terapéutico de que trata el literal d). del presente artículo, sin perjuicio de la competencia en materia civil de otras autoridades, quienes podrán ratificar esta medida o modificarla;</w:t>
      </w:r>
      <w:r w:rsidR="005A6B1D">
        <w:rPr>
          <w:rFonts w:ascii="Century Gothic" w:eastAsia="Century Gothic" w:hAnsi="Century Gothic" w:cs="Century Gothic"/>
          <w:color w:val="000000"/>
          <w:sz w:val="20"/>
          <w:szCs w:val="20"/>
          <w:lang w:val="es"/>
        </w:rPr>
        <w:tab/>
      </w:r>
      <w:r w:rsidR="005A6B1D">
        <w:rPr>
          <w:rFonts w:ascii="Century Gothic" w:eastAsia="Century Gothic" w:hAnsi="Century Gothic" w:cs="Century Gothic"/>
          <w:color w:val="000000"/>
          <w:sz w:val="20"/>
          <w:szCs w:val="20"/>
          <w:lang w:val="es"/>
        </w:rPr>
        <w:br/>
      </w:r>
    </w:p>
    <w:p w14:paraId="3AAB454F" w14:textId="2A7687DD" w:rsidR="00E10543" w:rsidRPr="005A6B1D" w:rsidRDefault="00E10543" w:rsidP="00E10543">
      <w:pPr>
        <w:spacing w:line="276" w:lineRule="auto"/>
        <w:ind w:left="426"/>
        <w:jc w:val="both"/>
        <w:rPr>
          <w:rFonts w:ascii="Century Gothic" w:eastAsia="Century Gothic" w:hAnsi="Century Gothic" w:cs="Century Gothic"/>
          <w:color w:val="000000"/>
          <w:sz w:val="20"/>
          <w:szCs w:val="20"/>
          <w:lang w:val="es"/>
        </w:rPr>
      </w:pPr>
      <w:r w:rsidRPr="005A6B1D">
        <w:rPr>
          <w:rFonts w:ascii="Century Gothic" w:eastAsia="Century Gothic" w:hAnsi="Century Gothic" w:cs="Century Gothic"/>
          <w:b/>
          <w:color w:val="000000"/>
          <w:sz w:val="20"/>
          <w:szCs w:val="20"/>
          <w:lang w:val="es"/>
        </w:rPr>
        <w:t>PARÁGRAFO 4.</w:t>
      </w:r>
      <w:r w:rsidRPr="005A6B1D">
        <w:rPr>
          <w:rFonts w:ascii="Century Gothic" w:eastAsia="Century Gothic" w:hAnsi="Century Gothic" w:cs="Century Gothic"/>
          <w:color w:val="000000"/>
          <w:sz w:val="20"/>
          <w:szCs w:val="20"/>
          <w:lang w:val="es"/>
        </w:rPr>
        <w:t xml:space="preserve"> La autoridad competente deberá remitir a la Policía Nacional de manera inmediata las medidas de protección ordenadas en el marco de los procesos de violencia intrafamiliar, violencia vicaria en el contexto familiar y violencia de género.</w:t>
      </w:r>
      <w:r w:rsidR="005A6B1D">
        <w:rPr>
          <w:rFonts w:ascii="Century Gothic" w:eastAsia="Century Gothic" w:hAnsi="Century Gothic" w:cs="Century Gothic"/>
          <w:color w:val="000000"/>
          <w:sz w:val="20"/>
          <w:szCs w:val="20"/>
          <w:lang w:val="es"/>
        </w:rPr>
        <w:br/>
      </w:r>
    </w:p>
    <w:p w14:paraId="578EBADE"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5A6B1D">
        <w:rPr>
          <w:rFonts w:ascii="Century Gothic" w:eastAsia="Century Gothic" w:hAnsi="Century Gothic" w:cs="Century Gothic"/>
          <w:b/>
          <w:color w:val="000000"/>
          <w:sz w:val="20"/>
          <w:szCs w:val="20"/>
          <w:lang w:val="es"/>
        </w:rPr>
        <w:t>ARTÍCULO 8:</w:t>
      </w:r>
      <w:r w:rsidRPr="00E10543">
        <w:rPr>
          <w:rFonts w:ascii="Century Gothic" w:eastAsia="Century Gothic" w:hAnsi="Century Gothic" w:cs="Century Gothic"/>
          <w:color w:val="000000"/>
          <w:sz w:val="20"/>
          <w:szCs w:val="20"/>
          <w:lang w:val="es"/>
        </w:rPr>
        <w:t xml:space="preserve"> En los procesos de divorcio, disolución de unión marital de hechos, alimentos, pérdida o suspensión de la patria potestad, investigación o impugnación de la paternidad o maternidad, custodias, cuidado personal y regulación de visitas, permisos para salir del país, medidas cautelares sobre personas o bienes vinculados a tales procesos, el juez competente podrá decretar medidas de protección a las víctimas de violencia vicaria protegiendo a la mujer y al familiar instrumentalizado como medio para ejercer daño a la mujer.</w:t>
      </w:r>
    </w:p>
    <w:p w14:paraId="19A3C851"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3B4893F5" w14:textId="133B2F69"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5A6B1D">
        <w:rPr>
          <w:rFonts w:ascii="Century Gothic" w:eastAsia="Century Gothic" w:hAnsi="Century Gothic" w:cs="Century Gothic"/>
          <w:b/>
          <w:color w:val="000000"/>
          <w:sz w:val="20"/>
          <w:szCs w:val="20"/>
          <w:lang w:val="es"/>
        </w:rPr>
        <w:t>ARTÍCULO 9:</w:t>
      </w:r>
      <w:r w:rsidRPr="00E10543">
        <w:rPr>
          <w:rFonts w:ascii="Century Gothic" w:eastAsia="Century Gothic" w:hAnsi="Century Gothic" w:cs="Century Gothic"/>
          <w:color w:val="000000"/>
          <w:sz w:val="20"/>
          <w:szCs w:val="20"/>
          <w:lang w:val="es"/>
        </w:rPr>
        <w:t xml:space="preserve"> Declárase el once (11) de mayo de cada año como el </w:t>
      </w:r>
      <w:r w:rsidR="005A6B1D">
        <w:rPr>
          <w:rFonts w:ascii="Century Gothic" w:eastAsia="Century Gothic" w:hAnsi="Century Gothic" w:cs="Century Gothic"/>
          <w:color w:val="000000"/>
          <w:sz w:val="20"/>
          <w:szCs w:val="20"/>
          <w:lang w:val="es"/>
        </w:rPr>
        <w:t>d</w:t>
      </w:r>
      <w:r w:rsidRPr="00E10543">
        <w:rPr>
          <w:rFonts w:ascii="Century Gothic" w:eastAsia="Century Gothic" w:hAnsi="Century Gothic" w:cs="Century Gothic"/>
          <w:color w:val="000000"/>
          <w:sz w:val="20"/>
          <w:szCs w:val="20"/>
          <w:lang w:val="es"/>
        </w:rPr>
        <w:t xml:space="preserve">ía en contra de la Violencia Vicaria.  </w:t>
      </w:r>
    </w:p>
    <w:p w14:paraId="6A60F13F"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2413F686"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5A6B1D">
        <w:rPr>
          <w:rFonts w:ascii="Century Gothic" w:eastAsia="Century Gothic" w:hAnsi="Century Gothic" w:cs="Century Gothic"/>
          <w:b/>
          <w:color w:val="000000"/>
          <w:sz w:val="20"/>
          <w:szCs w:val="20"/>
          <w:lang w:val="es"/>
        </w:rPr>
        <w:t>ARTÍCULO 10:</w:t>
      </w:r>
      <w:r w:rsidRPr="00E10543">
        <w:rPr>
          <w:rFonts w:ascii="Century Gothic" w:eastAsia="Century Gothic" w:hAnsi="Century Gothic" w:cs="Century Gothic"/>
          <w:color w:val="000000"/>
          <w:sz w:val="20"/>
          <w:szCs w:val="20"/>
          <w:lang w:val="es"/>
        </w:rPr>
        <w:t xml:space="preserve">  Registro de violencia vicaria. En concordancia con lo establecido en el artículo </w:t>
      </w:r>
      <w:hyperlink r:id="rId21" w:anchor="9">
        <w:r w:rsidRPr="00E10543">
          <w:rPr>
            <w:rStyle w:val="Hipervnculo"/>
            <w:rFonts w:ascii="Century Gothic" w:eastAsia="Century Gothic" w:hAnsi="Century Gothic" w:cs="Century Gothic"/>
            <w:sz w:val="20"/>
            <w:szCs w:val="20"/>
            <w:lang w:val="es"/>
          </w:rPr>
          <w:t>9</w:t>
        </w:r>
      </w:hyperlink>
      <w:r w:rsidRPr="00E10543">
        <w:rPr>
          <w:rFonts w:ascii="Century Gothic" w:eastAsia="Century Gothic" w:hAnsi="Century Gothic" w:cs="Century Gothic"/>
          <w:color w:val="000000"/>
          <w:sz w:val="20"/>
          <w:szCs w:val="20"/>
          <w:lang w:val="es"/>
        </w:rPr>
        <w:t xml:space="preserve"> numeral 9 de la Ley 1257 de 2008, artículo 12 de la Ley 1761 de 2015 y artículo 31 de la Ley 1719 de 2014</w:t>
      </w:r>
      <w:r w:rsidRPr="00E10543">
        <w:rPr>
          <w:rFonts w:ascii="Arial" w:eastAsia="Century Gothic" w:hAnsi="Arial" w:cs="Arial"/>
          <w:color w:val="000000"/>
          <w:sz w:val="20"/>
          <w:szCs w:val="20"/>
          <w:lang w:val="es"/>
        </w:rPr>
        <w:t>​​​</w:t>
      </w:r>
      <w:r w:rsidRPr="00E10543">
        <w:rPr>
          <w:rFonts w:ascii="Century Gothic" w:eastAsia="Century Gothic" w:hAnsi="Century Gothic" w:cs="Century Gothic"/>
          <w:color w:val="000000"/>
          <w:sz w:val="20"/>
          <w:szCs w:val="20"/>
          <w:lang w:val="es"/>
        </w:rPr>
        <w:t>, el Departamento Administrativo Nacional de Estadística en coordinación con el Ministerio de la Igualdad y Equidad, la Alta Consejería Presidencial para la Equidad de la Mujer o quien haga sus veces, el Ministerio de Justicia y del Derecho, el Instituto Colombiano de Bienestar Familiar  y el Instituto Nacional de Medicina Legal y Ciencias Forenses, asesorarán la incorporación al Sistema de Registro Unificado de Casos de Violencia contra la Mujer, un componente único de información, que permita recolectar, procesar, registrar, analizar, publicar y difundir información periódica y sistemática sobre la violencia vicaria de que trata la presente ley, monitorear los factores de riesgo e impacto de la misma, especialmente sobre las mujeres y sus familiares, hijos/as, dependientes o personas afectivamente significativas y aportar elementos de análisis para evaluar las medidas adoptadas en materia de prevención, atención y protección.</w:t>
      </w:r>
    </w:p>
    <w:p w14:paraId="2CE53717"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707F40F9"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r w:rsidRPr="005A6B1D">
        <w:rPr>
          <w:rFonts w:ascii="Century Gothic" w:eastAsia="Century Gothic" w:hAnsi="Century Gothic" w:cs="Century Gothic"/>
          <w:b/>
          <w:color w:val="000000"/>
          <w:sz w:val="20"/>
          <w:szCs w:val="20"/>
          <w:lang w:val="es"/>
        </w:rPr>
        <w:t>ARTÍCULO 11</w:t>
      </w:r>
      <w:r w:rsidRPr="00E10543">
        <w:rPr>
          <w:rFonts w:ascii="Century Gothic" w:eastAsia="Century Gothic" w:hAnsi="Century Gothic" w:cs="Century Gothic"/>
          <w:color w:val="000000"/>
          <w:sz w:val="20"/>
          <w:szCs w:val="20"/>
          <w:lang w:val="es"/>
        </w:rPr>
        <w:t>: Se autoriza al Gobierno Nacional para incorporar dentro del Presupuesto General de la Nación, las apropiaciones necesarias conforme al Marco Fiscal de Mediano Plazo para dar cumplimiento a la presente ley.</w:t>
      </w:r>
    </w:p>
    <w:p w14:paraId="5CEC8592" w14:textId="77777777" w:rsidR="00E10543" w:rsidRPr="00E10543" w:rsidRDefault="00E10543" w:rsidP="00E10543">
      <w:pPr>
        <w:spacing w:line="276" w:lineRule="auto"/>
        <w:ind w:left="426"/>
        <w:jc w:val="both"/>
        <w:rPr>
          <w:rFonts w:ascii="Century Gothic" w:eastAsia="Century Gothic" w:hAnsi="Century Gothic" w:cs="Century Gothic"/>
          <w:color w:val="000000"/>
          <w:sz w:val="20"/>
          <w:szCs w:val="20"/>
          <w:lang w:val="es"/>
        </w:rPr>
      </w:pPr>
    </w:p>
    <w:p w14:paraId="3AB9073A" w14:textId="78CD0847" w:rsidR="00872CE6" w:rsidRPr="00E10543" w:rsidRDefault="00E10543" w:rsidP="00E10543">
      <w:pPr>
        <w:spacing w:line="276" w:lineRule="auto"/>
        <w:ind w:left="426"/>
        <w:jc w:val="both"/>
        <w:rPr>
          <w:rFonts w:ascii="Century Gothic" w:eastAsia="Century Gothic" w:hAnsi="Century Gothic" w:cs="Century Gothic"/>
          <w:sz w:val="20"/>
          <w:szCs w:val="20"/>
        </w:rPr>
      </w:pPr>
      <w:r w:rsidRPr="005A6B1D">
        <w:rPr>
          <w:rFonts w:ascii="Century Gothic" w:eastAsia="Century Gothic" w:hAnsi="Century Gothic" w:cs="Century Gothic"/>
          <w:b/>
          <w:color w:val="000000"/>
          <w:sz w:val="20"/>
          <w:szCs w:val="20"/>
          <w:lang w:val="es"/>
        </w:rPr>
        <w:t>ARTÍCULO 12:</w:t>
      </w:r>
      <w:r w:rsidRPr="00E10543">
        <w:rPr>
          <w:rFonts w:ascii="Century Gothic" w:eastAsia="Century Gothic" w:hAnsi="Century Gothic" w:cs="Century Gothic"/>
          <w:color w:val="000000"/>
          <w:sz w:val="20"/>
          <w:szCs w:val="20"/>
          <w:lang w:val="es"/>
        </w:rPr>
        <w:t xml:space="preserve"> Vigencia. La presente ley rige a partir de la fecha de su promulgación y deroga todas las disposiciones que sean contrarias</w:t>
      </w:r>
    </w:p>
    <w:p w14:paraId="5152234D" w14:textId="77777777" w:rsidR="00872CE6" w:rsidRPr="00E10543" w:rsidRDefault="00872CE6" w:rsidP="00E10543">
      <w:pPr>
        <w:spacing w:line="276" w:lineRule="auto"/>
        <w:ind w:left="426"/>
        <w:jc w:val="both"/>
        <w:rPr>
          <w:rFonts w:ascii="Century Gothic" w:eastAsia="Meiryo" w:hAnsi="Century Gothic"/>
          <w:b/>
          <w:bCs/>
          <w:sz w:val="20"/>
          <w:szCs w:val="20"/>
          <w:lang w:val="es-ES"/>
        </w:rPr>
      </w:pPr>
    </w:p>
    <w:p w14:paraId="1A8EC05A" w14:textId="77777777" w:rsidR="00EA4295" w:rsidRPr="00E10543" w:rsidRDefault="00EA4295" w:rsidP="00E10543">
      <w:pPr>
        <w:spacing w:line="276" w:lineRule="auto"/>
        <w:ind w:left="426"/>
        <w:jc w:val="both"/>
        <w:rPr>
          <w:rFonts w:ascii="Century Gothic" w:eastAsia="Bookman Old Style" w:hAnsi="Century Gothic" w:cs="Bookman Old Style"/>
          <w:sz w:val="20"/>
          <w:szCs w:val="20"/>
        </w:rPr>
      </w:pPr>
    </w:p>
    <w:p w14:paraId="00BA70DA" w14:textId="77777777" w:rsidR="00711BBE" w:rsidRPr="00E10543" w:rsidRDefault="00711BBE" w:rsidP="00E10543">
      <w:pPr>
        <w:spacing w:line="276" w:lineRule="auto"/>
        <w:ind w:left="426"/>
        <w:jc w:val="both"/>
        <w:rPr>
          <w:rFonts w:ascii="Century Gothic" w:eastAsia="Bookman Old Style" w:hAnsi="Century Gothic" w:cs="Bookman Old Style"/>
          <w:sz w:val="20"/>
          <w:szCs w:val="20"/>
        </w:rPr>
      </w:pPr>
    </w:p>
    <w:p w14:paraId="0BF51AB0" w14:textId="77777777" w:rsidR="008020F5" w:rsidRPr="00E10543" w:rsidRDefault="008020F5" w:rsidP="00E10543">
      <w:pPr>
        <w:tabs>
          <w:tab w:val="right" w:pos="8838"/>
        </w:tabs>
        <w:spacing w:line="276" w:lineRule="auto"/>
        <w:ind w:left="426"/>
        <w:jc w:val="center"/>
        <w:rPr>
          <w:rFonts w:ascii="Century Gothic" w:eastAsia="Bookman Old Style" w:hAnsi="Century Gothic" w:cs="Bookman Old Style"/>
          <w:b/>
          <w:color w:val="000000"/>
          <w:sz w:val="20"/>
          <w:szCs w:val="20"/>
        </w:rPr>
      </w:pPr>
    </w:p>
    <w:p w14:paraId="714EE8F3" w14:textId="684075D3" w:rsidR="008119D1" w:rsidRPr="00E10543" w:rsidRDefault="008119D1" w:rsidP="00E10543">
      <w:pPr>
        <w:tabs>
          <w:tab w:val="right" w:pos="8838"/>
        </w:tabs>
        <w:spacing w:line="276" w:lineRule="auto"/>
        <w:ind w:left="426"/>
        <w:jc w:val="center"/>
        <w:rPr>
          <w:rFonts w:ascii="Century Gothic" w:eastAsia="Bookman Old Style" w:hAnsi="Century Gothic" w:cs="Bookman Old Style"/>
          <w:b/>
          <w:color w:val="000000"/>
          <w:sz w:val="20"/>
          <w:szCs w:val="20"/>
        </w:rPr>
      </w:pPr>
      <w:r w:rsidRPr="00E10543">
        <w:rPr>
          <w:rFonts w:ascii="Century Gothic" w:eastAsia="Bookman Old Style" w:hAnsi="Century Gothic" w:cs="Bookman Old Style"/>
          <w:b/>
          <w:color w:val="000000"/>
          <w:sz w:val="20"/>
          <w:szCs w:val="20"/>
        </w:rPr>
        <w:t>DELCY ESPERANZA ISAZA BUENAVENTURA</w:t>
      </w:r>
    </w:p>
    <w:p w14:paraId="7B4BA73D" w14:textId="2BE1459E" w:rsidR="008119D1" w:rsidRPr="00E10543" w:rsidRDefault="008119D1" w:rsidP="00E10543">
      <w:pPr>
        <w:tabs>
          <w:tab w:val="right" w:pos="8838"/>
        </w:tabs>
        <w:spacing w:line="276" w:lineRule="auto"/>
        <w:ind w:left="426"/>
        <w:jc w:val="center"/>
        <w:rPr>
          <w:rFonts w:ascii="Century Gothic" w:eastAsia="Bookman Old Style" w:hAnsi="Century Gothic" w:cs="Bookman Old Style"/>
          <w:color w:val="000000"/>
          <w:sz w:val="20"/>
          <w:szCs w:val="20"/>
        </w:rPr>
      </w:pPr>
      <w:r w:rsidRPr="00E10543">
        <w:rPr>
          <w:rFonts w:ascii="Century Gothic" w:eastAsia="Bookman Old Style" w:hAnsi="Century Gothic" w:cs="Bookman Old Style"/>
          <w:color w:val="000000"/>
          <w:sz w:val="20"/>
          <w:szCs w:val="20"/>
        </w:rPr>
        <w:t>Representante a la Cámara por el Tolima.</w:t>
      </w:r>
      <w:r w:rsidR="005A6B1D">
        <w:rPr>
          <w:rFonts w:ascii="Century Gothic" w:eastAsia="Bookman Old Style" w:hAnsi="Century Gothic" w:cs="Bookman Old Style"/>
          <w:color w:val="000000"/>
          <w:sz w:val="20"/>
          <w:szCs w:val="20"/>
        </w:rPr>
        <w:br/>
        <w:t xml:space="preserve">Partido Conservador </w:t>
      </w:r>
    </w:p>
    <w:p w14:paraId="2F2BD8A8" w14:textId="2986D970" w:rsidR="005A4FEA" w:rsidRPr="00E10543" w:rsidRDefault="008119D1" w:rsidP="00E10543">
      <w:pPr>
        <w:spacing w:line="276" w:lineRule="auto"/>
        <w:ind w:left="426"/>
        <w:jc w:val="center"/>
        <w:rPr>
          <w:rFonts w:ascii="Century Gothic" w:eastAsia="Bookman Old Style" w:hAnsi="Century Gothic" w:cs="Bookman Old Style"/>
          <w:sz w:val="20"/>
          <w:szCs w:val="20"/>
        </w:rPr>
      </w:pPr>
      <w:r w:rsidRPr="00E10543">
        <w:rPr>
          <w:rFonts w:ascii="Century Gothic" w:eastAsia="Bookman Old Style" w:hAnsi="Century Gothic" w:cs="Bookman Old Style"/>
          <w:color w:val="000000"/>
          <w:sz w:val="20"/>
          <w:szCs w:val="20"/>
        </w:rPr>
        <w:t>Ponente.</w:t>
      </w:r>
    </w:p>
    <w:sectPr w:rsidR="005A4FEA" w:rsidRPr="00E10543" w:rsidSect="00EA6409">
      <w:headerReference w:type="default" r:id="rId22"/>
      <w:footerReference w:type="default" r:id="rId23"/>
      <w:type w:val="continuous"/>
      <w:pgSz w:w="12242" w:h="18722" w:code="119"/>
      <w:pgMar w:top="1701" w:right="1701" w:bottom="1418" w:left="1701"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03824" w14:textId="77777777" w:rsidR="00F47FB9" w:rsidRDefault="00F47FB9">
      <w:r>
        <w:separator/>
      </w:r>
    </w:p>
  </w:endnote>
  <w:endnote w:type="continuationSeparator" w:id="0">
    <w:p w14:paraId="74A42BE2" w14:textId="77777777" w:rsidR="00F47FB9" w:rsidRDefault="00F47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Open Sans">
    <w:altName w:val="Arial"/>
    <w:charset w:val="00"/>
    <w:family w:val="swiss"/>
    <w:pitch w:val="variable"/>
    <w:sig w:usb0="00000001" w:usb1="4000205B" w:usb2="00000028" w:usb3="00000000" w:csb0="0000019F" w:csb1="00000000"/>
  </w:font>
  <w:font w:name="Quattrocento">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eiryo">
    <w:altName w:val="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121F0" w14:textId="77777777" w:rsidR="00E10543" w:rsidRDefault="00E10543">
    <w:pPr>
      <w:pBdr>
        <w:top w:val="nil"/>
        <w:left w:val="nil"/>
        <w:bottom w:val="nil"/>
        <w:right w:val="nil"/>
        <w:between w:val="nil"/>
      </w:pBdr>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863D8" w14:textId="77777777" w:rsidR="00F47FB9" w:rsidRDefault="00F47FB9">
      <w:r>
        <w:separator/>
      </w:r>
    </w:p>
  </w:footnote>
  <w:footnote w:type="continuationSeparator" w:id="0">
    <w:p w14:paraId="561F54B8" w14:textId="77777777" w:rsidR="00F47FB9" w:rsidRDefault="00F47FB9">
      <w:r>
        <w:continuationSeparator/>
      </w:r>
    </w:p>
  </w:footnote>
  <w:footnote w:id="1">
    <w:p w14:paraId="2724A69C" w14:textId="6C39808D" w:rsidR="00E10543" w:rsidRDefault="00E10543">
      <w:pPr>
        <w:pStyle w:val="Textonotapie"/>
      </w:pPr>
      <w:r>
        <w:rPr>
          <w:rStyle w:val="Refdenotaalpie"/>
        </w:rPr>
        <w:footnoteRef/>
      </w:r>
      <w:r>
        <w:t xml:space="preserve"> </w:t>
      </w:r>
      <w:r w:rsidRPr="00E50C2F">
        <w:t>Ley 1257 del 2008, Por la cual se dictan normas de sensibilización, prevención y sanción de formas de violencia y discriminación contra las mujeres. Colombia</w:t>
      </w:r>
    </w:p>
  </w:footnote>
  <w:footnote w:id="2">
    <w:p w14:paraId="6070D120" w14:textId="1633729B" w:rsidR="00E10543" w:rsidRDefault="00E10543">
      <w:pPr>
        <w:pStyle w:val="Textonotapie"/>
      </w:pPr>
      <w:r>
        <w:rPr>
          <w:rStyle w:val="Refdenotaalpie"/>
        </w:rPr>
        <w:footnoteRef/>
      </w:r>
      <w:r>
        <w:t xml:space="preserve"> Boletines Estadísticos Mensuales, Medicina Legal. Visto en https://www.medicinalegal.gov.co/cifras-estadisticas/boletines-estadisticos-mensuales</w:t>
      </w:r>
    </w:p>
  </w:footnote>
  <w:footnote w:id="3">
    <w:p w14:paraId="63B03332" w14:textId="38099B6D" w:rsidR="00E10543" w:rsidRDefault="00E10543">
      <w:pPr>
        <w:pStyle w:val="Textonotapie"/>
      </w:pPr>
      <w:r>
        <w:rPr>
          <w:rStyle w:val="Refdenotaalpie"/>
        </w:rPr>
        <w:footnoteRef/>
      </w:r>
      <w:r>
        <w:t xml:space="preserve"> Así es la violencia vicaria, la expresión más cruel de la violencia de género. </w:t>
      </w:r>
      <w:r>
        <w:rPr>
          <w:rStyle w:val="Textoennegrita"/>
          <w:rFonts w:ascii="Quattrocento" w:hAnsi="Quattrocento"/>
          <w:color w:val="454545"/>
          <w:shd w:val="clear" w:color="auto" w:fill="FFFFFF"/>
        </w:rPr>
        <w:t xml:space="preserve">Tajahuerc Isabel, Suárez Magdalena.  </w:t>
      </w:r>
      <w:r>
        <w:t xml:space="preserve">Universidad Computense de Madrid. Visto en: </w:t>
      </w:r>
      <w:hyperlink r:id="rId1" w:history="1">
        <w:r w:rsidRPr="008B7256">
          <w:rPr>
            <w:rStyle w:val="Hipervnculo"/>
            <w:lang w:val="es-CO"/>
          </w:rPr>
          <w:t>Así es la violencia vicaria, la expresión más cruel de la violencia de género | Oficina de Transferencia de Resultados de Investigación (ucm.es)</w:t>
        </w:r>
      </w:hyperlink>
    </w:p>
  </w:footnote>
  <w:footnote w:id="4">
    <w:p w14:paraId="2554FE15" w14:textId="77777777" w:rsidR="00E10543" w:rsidRDefault="00E10543" w:rsidP="00852CF3">
      <w:pPr>
        <w:pStyle w:val="Textonotapie"/>
      </w:pPr>
      <w:r>
        <w:rPr>
          <w:rStyle w:val="Refdenotaalpie"/>
        </w:rPr>
        <w:footnoteRef/>
      </w:r>
      <w:r>
        <w:t xml:space="preserve"> La Violencia Vicaria: Una forma de violencia Machista. Ledesma Rivero. Facultad de Educación. Universidad de la Laguna </w:t>
      </w:r>
    </w:p>
  </w:footnote>
  <w:footnote w:id="5">
    <w:p w14:paraId="0C989656" w14:textId="110AD69C" w:rsidR="00E10543" w:rsidRDefault="00E10543">
      <w:pPr>
        <w:pStyle w:val="Textonotapie"/>
      </w:pPr>
      <w:r>
        <w:rPr>
          <w:rStyle w:val="Refdenotaalpie"/>
        </w:rPr>
        <w:footnoteRef/>
      </w:r>
      <w:r>
        <w:t xml:space="preserve"> Reportaje </w:t>
      </w:r>
      <w:r w:rsidRPr="004E76F4">
        <w:rPr>
          <w:b/>
          <w:bCs/>
          <w:lang w:val="es-CO"/>
        </w:rPr>
        <w:t>Violencia de género vicaria: así se han pronunciado los tribunales españoles e internacionales</w:t>
      </w:r>
      <w:r>
        <w:rPr>
          <w:b/>
          <w:bCs/>
          <w:lang w:val="es-CO"/>
        </w:rPr>
        <w:t xml:space="preserve">. López Noemí (2021). Newtral. </w:t>
      </w:r>
      <w:hyperlink r:id="rId2" w:history="1">
        <w:r w:rsidRPr="004E76F4">
          <w:rPr>
            <w:rStyle w:val="Hipervnculo"/>
            <w:b/>
            <w:bCs/>
            <w:lang w:val="es-CO"/>
          </w:rPr>
          <w:t>Violencia vicaria: así se han pronunciado los tribunales (newtral.es)</w:t>
        </w:r>
      </w:hyperlink>
    </w:p>
  </w:footnote>
  <w:footnote w:id="6">
    <w:p w14:paraId="59A7B07D" w14:textId="0F1F8680" w:rsidR="00E10543" w:rsidRDefault="00E10543">
      <w:pPr>
        <w:pStyle w:val="Textonotapie"/>
      </w:pPr>
      <w:r>
        <w:rPr>
          <w:rStyle w:val="Refdenotaalpie"/>
        </w:rPr>
        <w:footnoteRef/>
      </w:r>
      <w:r>
        <w:t xml:space="preserve"> </w:t>
      </w:r>
      <w:r w:rsidRPr="004E76F4">
        <w:rPr>
          <w:lang w:val="es-CO"/>
        </w:rPr>
        <w:t>Países que han firmado y ratificado el Protocolo Facultativo de la Convención sobre la eliminación de todas las formas de discriminación contra la mujer</w:t>
      </w:r>
      <w:r>
        <w:rPr>
          <w:lang w:val="es-CO"/>
        </w:rPr>
        <w:t xml:space="preserve">. </w:t>
      </w:r>
      <w:hyperlink r:id="rId3" w:tooltip="Home" w:history="1">
        <w:r w:rsidRPr="004E76F4">
          <w:rPr>
            <w:rStyle w:val="Hipervnculo"/>
            <w:lang w:val="es-CO"/>
          </w:rPr>
          <w:t>Observatorio de Igualdad de Género</w:t>
        </w:r>
      </w:hyperlink>
      <w:r>
        <w:rPr>
          <w:lang w:val="es-CO"/>
        </w:rPr>
        <w:t xml:space="preserve"> </w:t>
      </w:r>
      <w:r w:rsidRPr="004E76F4">
        <w:t>de América Latina y el Caribe</w:t>
      </w:r>
      <w:r>
        <w:t xml:space="preserve">. CEPAL- ONU. </w:t>
      </w:r>
      <w:r w:rsidRPr="004E76F4">
        <w:t>https://oig.cepal.org/es/indicadores/paises-que-han-firmado-ratificado-protocolo-facultativo-la-convencion-la-eliminacion</w:t>
      </w:r>
    </w:p>
  </w:footnote>
  <w:footnote w:id="7">
    <w:p w14:paraId="7ECEBB0A" w14:textId="3A3948E8" w:rsidR="00E10543" w:rsidRDefault="00E10543">
      <w:pPr>
        <w:pStyle w:val="Textonotapie"/>
      </w:pPr>
      <w:r>
        <w:rPr>
          <w:rStyle w:val="Refdenotaalpie"/>
        </w:rPr>
        <w:footnoteRef/>
      </w:r>
      <w:r>
        <w:t xml:space="preserve"> </w:t>
      </w:r>
      <w:hyperlink r:id="rId4" w:history="1">
        <w:r w:rsidRPr="000B307B">
          <w:rPr>
            <w:rStyle w:val="Hipervnculo"/>
            <w:lang w:val="es-CO"/>
          </w:rPr>
          <w:t>Gabriel Esteban Cubillos, niño de 5 años asesinado por su papá: habla madre del menor (elheraldo.co)</w:t>
        </w:r>
      </w:hyperlink>
    </w:p>
  </w:footnote>
  <w:footnote w:id="8">
    <w:p w14:paraId="1992B968" w14:textId="77777777" w:rsidR="00E10543" w:rsidRDefault="00E10543" w:rsidP="004F7052">
      <w:pPr>
        <w:rPr>
          <w:sz w:val="20"/>
          <w:szCs w:val="20"/>
        </w:rPr>
      </w:pPr>
      <w:r>
        <w:rPr>
          <w:vertAlign w:val="superscript"/>
        </w:rPr>
        <w:footnoteRef/>
      </w:r>
      <w:r>
        <w:rPr>
          <w:sz w:val="20"/>
          <w:szCs w:val="20"/>
        </w:rPr>
        <w:t xml:space="preserve"> </w:t>
      </w:r>
      <w:r>
        <w:rPr>
          <w:color w:val="222222"/>
          <w:sz w:val="20"/>
          <w:szCs w:val="20"/>
          <w:highlight w:val="white"/>
        </w:rPr>
        <w:t xml:space="preserve">Porter, B., &amp; López-Angulo, Y. (2022). Violencia vicaria en el contexto de la violencia de género: un estudio descriptivo en Iberoamérica. </w:t>
      </w:r>
      <w:r>
        <w:rPr>
          <w:i/>
          <w:color w:val="222222"/>
          <w:sz w:val="20"/>
          <w:szCs w:val="20"/>
          <w:highlight w:val="white"/>
        </w:rPr>
        <w:t>CienciAmérica</w:t>
      </w:r>
      <w:r>
        <w:rPr>
          <w:color w:val="222222"/>
          <w:sz w:val="20"/>
          <w:szCs w:val="20"/>
          <w:highlight w:val="white"/>
        </w:rPr>
        <w:t xml:space="preserve">, </w:t>
      </w:r>
      <w:r>
        <w:rPr>
          <w:i/>
          <w:color w:val="222222"/>
          <w:sz w:val="20"/>
          <w:szCs w:val="20"/>
          <w:highlight w:val="white"/>
        </w:rPr>
        <w:t>11</w:t>
      </w:r>
      <w:r>
        <w:rPr>
          <w:color w:val="222222"/>
          <w:sz w:val="20"/>
          <w:szCs w:val="20"/>
          <w:highlight w:val="white"/>
        </w:rPr>
        <w:t>(1), 11-11.</w:t>
      </w:r>
    </w:p>
  </w:footnote>
  <w:footnote w:id="9">
    <w:p w14:paraId="2CDF8CF2" w14:textId="77777777" w:rsidR="00E10543" w:rsidRDefault="00E10543" w:rsidP="004F7052">
      <w:pPr>
        <w:rPr>
          <w:sz w:val="20"/>
          <w:szCs w:val="20"/>
        </w:rPr>
      </w:pPr>
      <w:r>
        <w:rPr>
          <w:vertAlign w:val="superscript"/>
        </w:rPr>
        <w:footnoteRef/>
      </w:r>
      <w:r>
        <w:rPr>
          <w:sz w:val="20"/>
          <w:szCs w:val="20"/>
        </w:rPr>
        <w:t xml:space="preserve"> Ver: https://www.es.amnesty.org/en-que-estamos/blog/historia/articulo/que-es-la-violencia-vicaria/</w:t>
      </w:r>
    </w:p>
  </w:footnote>
  <w:footnote w:id="10">
    <w:p w14:paraId="22E0A6B4" w14:textId="77777777" w:rsidR="00E10543" w:rsidRDefault="00E10543" w:rsidP="004F7052">
      <w:pPr>
        <w:rPr>
          <w:sz w:val="20"/>
          <w:szCs w:val="20"/>
        </w:rPr>
      </w:pPr>
      <w:r>
        <w:rPr>
          <w:vertAlign w:val="superscript"/>
        </w:rPr>
        <w:footnoteRef/>
      </w:r>
      <w:r>
        <w:rPr>
          <w:sz w:val="20"/>
          <w:szCs w:val="20"/>
        </w:rPr>
        <w:t xml:space="preserve"> </w:t>
      </w:r>
      <w:hyperlink r:id="rId5">
        <w:r>
          <w:rPr>
            <w:color w:val="1155CC"/>
            <w:sz w:val="20"/>
            <w:szCs w:val="20"/>
            <w:u w:val="single"/>
          </w:rPr>
          <w:t>Qué es la violencia vicaria y por qué se relaciona con el caso del pequeño Gabriel Esteban | Cambio Colombia</w:t>
        </w:r>
      </w:hyperlink>
    </w:p>
  </w:footnote>
  <w:footnote w:id="11">
    <w:p w14:paraId="1F67FD57" w14:textId="77777777" w:rsidR="00E10543" w:rsidRDefault="00E10543" w:rsidP="004F7052">
      <w:pPr>
        <w:rPr>
          <w:sz w:val="20"/>
          <w:szCs w:val="20"/>
        </w:rPr>
      </w:pPr>
      <w:r>
        <w:rPr>
          <w:vertAlign w:val="superscript"/>
        </w:rPr>
        <w:footnoteRef/>
      </w:r>
      <w:r>
        <w:rPr>
          <w:sz w:val="20"/>
          <w:szCs w:val="20"/>
        </w:rPr>
        <w:t xml:space="preserve"> </w:t>
      </w:r>
      <w:hyperlink r:id="rId6">
        <w:r>
          <w:rPr>
            <w:color w:val="1155CC"/>
            <w:sz w:val="20"/>
            <w:szCs w:val="20"/>
            <w:u w:val="single"/>
          </w:rPr>
          <w:t>PADRE ASESINÓ A SU HIJA DE 8 AÑOS - Archivo Digital de Noticias de Colombia y el Mundo desde 1.990 - eltiempo.com</w:t>
        </w:r>
      </w:hyperlink>
    </w:p>
  </w:footnote>
  <w:footnote w:id="12">
    <w:p w14:paraId="736EC40D" w14:textId="77777777" w:rsidR="00E10543" w:rsidRDefault="00E10543" w:rsidP="004F7052">
      <w:pPr>
        <w:jc w:val="both"/>
        <w:rPr>
          <w:sz w:val="18"/>
          <w:szCs w:val="18"/>
        </w:rPr>
      </w:pPr>
      <w:r>
        <w:rPr>
          <w:vertAlign w:val="superscript"/>
        </w:rPr>
        <w:footnoteRef/>
      </w:r>
      <w:r>
        <w:rPr>
          <w:sz w:val="18"/>
          <w:szCs w:val="18"/>
        </w:rPr>
        <w:t xml:space="preserve"> Se entiende como un patrón de interacción que lesiona la integridad física, emocional, sexual y/o patrimonial de las personas que conforman parte de la misma. A través de dicha violencia se vulnera el derecho que cada integrante de la misma tiene a la vida, la libertad y la autonomía en el manejo de la sexualidad, del cuerpo y a tomar las propias decisiones. Su objeto es someter al otro o la otra, establecer y reproducir relaciones de poder o resolver conflictos. Dicha violencia también puede ser ocasionada por el ex cónyuge, ex compañero(a), ex novio(a) o ex amante, en tanto que los daños o sufrimientos psicológicos, físicos, sexuales o patrimoniales se ocasionan en el marco de la relaciones interpersonales derivadas de la relación de pareja sostenida por los miembros, es decir los factores asociados a la aparición de la misma se sustenta en las relaciones de poder o de dominación de uno sobre otro a pesar de haber terminado formal o informalmente la misma. Definiciones del REGLAMENTO TÉCNICO PARA EL ABORDAJE INTEGRAL DE LA VIOLENCIA DE PAREJA EN CLÍNICA FORENSE. </w:t>
      </w:r>
      <w:hyperlink r:id="rId7">
        <w:r>
          <w:rPr>
            <w:color w:val="1155CC"/>
            <w:sz w:val="18"/>
            <w:szCs w:val="18"/>
            <w:u w:val="single"/>
          </w:rPr>
          <w:t>2c1f0e21-6226-59f8-aa9d-fdcd56eb1b0a (medicinalegal.gov.co)</w:t>
        </w:r>
      </w:hyperlink>
    </w:p>
  </w:footnote>
  <w:footnote w:id="13">
    <w:p w14:paraId="7B641191" w14:textId="77777777" w:rsidR="00E10543" w:rsidRDefault="00E10543" w:rsidP="004F7052">
      <w:pPr>
        <w:rPr>
          <w:sz w:val="20"/>
          <w:szCs w:val="20"/>
        </w:rPr>
      </w:pPr>
      <w:r>
        <w:rPr>
          <w:vertAlign w:val="superscript"/>
        </w:rPr>
        <w:footnoteRef/>
      </w:r>
      <w:r>
        <w:rPr>
          <w:sz w:val="18"/>
          <w:szCs w:val="18"/>
        </w:rPr>
        <w:t xml:space="preserve"> La violencia interpersonal se define operativamente, en el ámbito epidemiológico forense, como el fenómeno de agresión intencional que tiene como resultado una lesión o daño al cuerpo o a la salud de la víctima y no la muerte, cuyo ejecutante no es un familiar en grado consanguíneo o de afinidad del agredido, y que excluye los casos de transporte.</w:t>
      </w:r>
    </w:p>
  </w:footnote>
  <w:footnote w:id="14">
    <w:p w14:paraId="4902E8C7" w14:textId="77777777" w:rsidR="00E10543" w:rsidRDefault="00E10543" w:rsidP="004F7052">
      <w:pPr>
        <w:rPr>
          <w:sz w:val="20"/>
          <w:szCs w:val="20"/>
        </w:rPr>
      </w:pPr>
      <w:r>
        <w:rPr>
          <w:vertAlign w:val="superscript"/>
        </w:rPr>
        <w:footnoteRef/>
      </w:r>
      <w:r>
        <w:rPr>
          <w:sz w:val="20"/>
          <w:szCs w:val="20"/>
        </w:rPr>
        <w:t xml:space="preserve"> Ver: </w:t>
      </w:r>
      <w:hyperlink r:id="rId8">
        <w:r>
          <w:rPr>
            <w:color w:val="1155CC"/>
            <w:sz w:val="20"/>
            <w:szCs w:val="20"/>
            <w:u w:val="single"/>
          </w:rPr>
          <w:t>Conteo de Víctimas | Datos Abiertos Colombia</w:t>
        </w:r>
      </w:hyperlink>
    </w:p>
  </w:footnote>
  <w:footnote w:id="15">
    <w:p w14:paraId="0FA8F2F0" w14:textId="77777777" w:rsidR="00E10543" w:rsidRDefault="00E10543" w:rsidP="004F7052">
      <w:pPr>
        <w:rPr>
          <w:sz w:val="20"/>
          <w:szCs w:val="20"/>
        </w:rPr>
      </w:pPr>
      <w:r>
        <w:rPr>
          <w:vertAlign w:val="superscript"/>
        </w:rPr>
        <w:footnoteRef/>
      </w:r>
      <w:r>
        <w:rPr>
          <w:sz w:val="20"/>
          <w:szCs w:val="20"/>
        </w:rPr>
        <w:t xml:space="preserve"> Ver: </w:t>
      </w:r>
      <w:hyperlink r:id="rId9">
        <w:r>
          <w:rPr>
            <w:color w:val="1155CC"/>
            <w:sz w:val="20"/>
            <w:szCs w:val="20"/>
            <w:u w:val="single"/>
          </w:rPr>
          <w:t>Conteo de Procesos | Datos Abiertos Colombia</w:t>
        </w:r>
      </w:hyperlink>
    </w:p>
  </w:footnote>
  <w:footnote w:id="16">
    <w:p w14:paraId="5F7C9017" w14:textId="77777777" w:rsidR="00E10543" w:rsidRDefault="00E10543" w:rsidP="004F7052">
      <w:pPr>
        <w:rPr>
          <w:sz w:val="20"/>
          <w:szCs w:val="20"/>
        </w:rPr>
      </w:pPr>
      <w:r>
        <w:rPr>
          <w:vertAlign w:val="superscript"/>
        </w:rPr>
        <w:footnoteRef/>
      </w:r>
      <w:r>
        <w:rPr>
          <w:sz w:val="20"/>
          <w:szCs w:val="20"/>
        </w:rPr>
        <w:t xml:space="preserve"> Ver:  NI UNA MENOS Movilización socio legal y la sanción de la Ley de Feminicidio Rosa Elvira Cely. Roxana Sefair. </w:t>
      </w:r>
      <w:hyperlink r:id="rId10" w:anchor=":~:text=La%20Ley%20de%20Feminicidio%20Rosa%20Elvira%20Cely%20tiene%20una%20importancia,%2C%20Ley%201761%20de%202015).">
        <w:r>
          <w:rPr>
            <w:color w:val="1155CC"/>
            <w:sz w:val="20"/>
            <w:szCs w:val="20"/>
            <w:u w:val="single"/>
          </w:rPr>
          <w:t>content (urosario.edu.co)</w:t>
        </w:r>
      </w:hyperlink>
    </w:p>
  </w:footnote>
  <w:footnote w:id="17">
    <w:p w14:paraId="48B0B751" w14:textId="77777777" w:rsidR="00E10543" w:rsidRDefault="00E10543" w:rsidP="004F7052">
      <w:pPr>
        <w:ind w:hanging="15"/>
        <w:jc w:val="both"/>
        <w:rPr>
          <w:sz w:val="20"/>
          <w:szCs w:val="20"/>
        </w:rPr>
      </w:pPr>
      <w:r>
        <w:rPr>
          <w:vertAlign w:val="superscript"/>
        </w:rPr>
        <w:footnoteRef/>
      </w:r>
      <w:r>
        <w:t xml:space="preserve"> </w:t>
      </w:r>
      <w:r>
        <w:rPr>
          <w:sz w:val="20"/>
          <w:szCs w:val="20"/>
        </w:rPr>
        <w:t>Sentencia de Constitucionalidad nº 539/16 de Corte Constitucional, 5 de Octubre de 2016.MP. LUIS ERNESTO VARGAS SILVA</w:t>
      </w:r>
    </w:p>
  </w:footnote>
  <w:footnote w:id="18">
    <w:p w14:paraId="3E758D05" w14:textId="77777777" w:rsidR="00E10543" w:rsidRDefault="00E10543" w:rsidP="004F7052">
      <w:pPr>
        <w:ind w:hanging="15"/>
        <w:jc w:val="both"/>
        <w:rPr>
          <w:sz w:val="20"/>
          <w:szCs w:val="20"/>
        </w:rPr>
      </w:pPr>
      <w:r>
        <w:rPr>
          <w:vertAlign w:val="superscript"/>
        </w:rPr>
        <w:footnoteRef/>
      </w:r>
      <w:r>
        <w:t xml:space="preserve"> </w:t>
      </w:r>
      <w:r>
        <w:rPr>
          <w:sz w:val="20"/>
          <w:szCs w:val="20"/>
        </w:rPr>
        <w:t xml:space="preserve">Corte Suprema de Justicia. SP2706-2018. Radicado n.º 48251. MP. José Luis Barceló Camacho.  </w:t>
      </w:r>
    </w:p>
  </w:footnote>
  <w:footnote w:id="19">
    <w:p w14:paraId="3EAFD68D" w14:textId="77777777" w:rsidR="00E10543" w:rsidRDefault="00E10543" w:rsidP="004F7052">
      <w:pPr>
        <w:ind w:hanging="15"/>
        <w:jc w:val="both"/>
        <w:rPr>
          <w:sz w:val="20"/>
          <w:szCs w:val="20"/>
        </w:rPr>
      </w:pPr>
      <w:r>
        <w:rPr>
          <w:vertAlign w:val="superscript"/>
        </w:rPr>
        <w:footnoteRef/>
      </w:r>
      <w:r>
        <w:t xml:space="preserve"> </w:t>
      </w:r>
      <w:r>
        <w:rPr>
          <w:sz w:val="20"/>
          <w:szCs w:val="20"/>
        </w:rPr>
        <w:t>SENTENCIA de Corte Suprema de Justicia - Sala de Casación Penal nº 52394 del 01-10-2019</w:t>
      </w:r>
    </w:p>
  </w:footnote>
  <w:footnote w:id="20">
    <w:p w14:paraId="7AC6C1FA" w14:textId="77777777" w:rsidR="00E10543" w:rsidRDefault="00E10543" w:rsidP="004F7052">
      <w:pPr>
        <w:rPr>
          <w:sz w:val="20"/>
          <w:szCs w:val="20"/>
        </w:rPr>
      </w:pPr>
      <w:r>
        <w:rPr>
          <w:vertAlign w:val="superscript"/>
        </w:rPr>
        <w:footnoteRef/>
      </w:r>
      <w:r>
        <w:rPr>
          <w:sz w:val="20"/>
          <w:szCs w:val="20"/>
        </w:rPr>
        <w:t xml:space="preserve"> </w:t>
      </w:r>
      <w:hyperlink r:id="rId11">
        <w:r>
          <w:rPr>
            <w:color w:val="1155CC"/>
            <w:sz w:val="20"/>
            <w:szCs w:val="20"/>
            <w:u w:val="single"/>
          </w:rPr>
          <w:t>Boletín Nacional (observatoriofeminicidioscolombia.org)</w:t>
        </w:r>
      </w:hyperlink>
    </w:p>
  </w:footnote>
  <w:footnote w:id="21">
    <w:p w14:paraId="360C7D18" w14:textId="77777777" w:rsidR="00E10543" w:rsidRDefault="00E10543" w:rsidP="004F7052">
      <w:pPr>
        <w:rPr>
          <w:sz w:val="20"/>
          <w:szCs w:val="20"/>
        </w:rPr>
      </w:pPr>
      <w:r>
        <w:rPr>
          <w:vertAlign w:val="superscript"/>
        </w:rPr>
        <w:footnoteRef/>
      </w:r>
      <w:r>
        <w:rPr>
          <w:sz w:val="20"/>
          <w:szCs w:val="20"/>
        </w:rPr>
        <w:t xml:space="preserve"> Ver: https://colombia.unfpa.org/sites/default/files/pub-pdf/ley1257de2008.pdf</w:t>
      </w:r>
    </w:p>
  </w:footnote>
  <w:footnote w:id="22">
    <w:p w14:paraId="709B3E75" w14:textId="77777777" w:rsidR="00E10543" w:rsidRDefault="00E10543" w:rsidP="00E10543">
      <w:pPr>
        <w:rPr>
          <w:sz w:val="20"/>
          <w:szCs w:val="20"/>
        </w:rPr>
      </w:pPr>
      <w:r>
        <w:rPr>
          <w:vertAlign w:val="superscript"/>
        </w:rPr>
        <w:footnoteRef/>
      </w:r>
      <w:r>
        <w:rPr>
          <w:sz w:val="20"/>
          <w:szCs w:val="20"/>
        </w:rPr>
        <w:t xml:space="preserve"> Corte Constitucional. Sentencia C-866 de 2010. Magistrado Ponente: Jorge Ignacio Pretelt Chaljub. Recuperada de: https://www.corteconstitucional.gov.co/ RELATORIA/2010/C-866-10.htm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58303"/>
      <w:docPartObj>
        <w:docPartGallery w:val="Page Numbers (Top of Page)"/>
        <w:docPartUnique/>
      </w:docPartObj>
    </w:sdtPr>
    <w:sdtEndPr/>
    <w:sdtContent>
      <w:p w14:paraId="01203924" w14:textId="09468F05" w:rsidR="00E10543" w:rsidRDefault="00EA6409">
        <w:pPr>
          <w:pStyle w:val="Encabezado"/>
          <w:jc w:val="right"/>
        </w:pPr>
        <w:r>
          <w:rPr>
            <w:noProof/>
            <w:color w:val="000000"/>
            <w:lang w:val="es-CO" w:eastAsia="es-CO"/>
          </w:rPr>
          <w:drawing>
            <wp:anchor distT="0" distB="0" distL="114300" distR="114300" simplePos="0" relativeHeight="251658240" behindDoc="0" locked="0" layoutInCell="1" allowOverlap="1" wp14:anchorId="108D7A27" wp14:editId="40ED8AAA">
              <wp:simplePos x="0" y="0"/>
              <wp:positionH relativeFrom="column">
                <wp:posOffset>49530</wp:posOffset>
              </wp:positionH>
              <wp:positionV relativeFrom="paragraph">
                <wp:posOffset>-113030</wp:posOffset>
              </wp:positionV>
              <wp:extent cx="1587260" cy="552091"/>
              <wp:effectExtent l="0" t="0" r="0" b="635"/>
              <wp:wrapNone/>
              <wp:docPr id="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87260" cy="552091"/>
                      </a:xfrm>
                      <a:prstGeom prst="rect">
                        <a:avLst/>
                      </a:prstGeom>
                      <a:ln/>
                    </pic:spPr>
                  </pic:pic>
                </a:graphicData>
              </a:graphic>
              <wp14:sizeRelH relativeFrom="margin">
                <wp14:pctWidth>0</wp14:pctWidth>
              </wp14:sizeRelH>
              <wp14:sizeRelV relativeFrom="margin">
                <wp14:pctHeight>0</wp14:pctHeight>
              </wp14:sizeRelV>
            </wp:anchor>
          </w:drawing>
        </w:r>
        <w:r w:rsidR="005A6B1D">
          <w:rPr>
            <w:noProof/>
            <w:lang w:val="es-CO" w:eastAsia="es-CO"/>
          </w:rPr>
          <w:drawing>
            <wp:anchor distT="0" distB="0" distL="0" distR="0" simplePos="0" relativeHeight="251660288" behindDoc="1" locked="0" layoutInCell="1" hidden="0" allowOverlap="1" wp14:anchorId="1FC90CB4" wp14:editId="69380BD2">
              <wp:simplePos x="0" y="0"/>
              <wp:positionH relativeFrom="column">
                <wp:posOffset>4088525</wp:posOffset>
              </wp:positionH>
              <wp:positionV relativeFrom="paragraph">
                <wp:posOffset>-189865</wp:posOffset>
              </wp:positionV>
              <wp:extent cx="1209675" cy="7239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09675" cy="723900"/>
                      </a:xfrm>
                      <a:prstGeom prst="rect">
                        <a:avLst/>
                      </a:prstGeom>
                      <a:ln/>
                    </pic:spPr>
                  </pic:pic>
                </a:graphicData>
              </a:graphic>
            </wp:anchor>
          </w:drawing>
        </w:r>
        <w:r w:rsidR="005A6B1D">
          <w:t xml:space="preserve"> </w:t>
        </w:r>
        <w:r w:rsidR="005A6B1D">
          <w:tab/>
        </w:r>
        <w:r w:rsidR="00E10543">
          <w:fldChar w:fldCharType="begin"/>
        </w:r>
        <w:r w:rsidR="00E10543">
          <w:instrText>PAGE   \* MERGEFORMAT</w:instrText>
        </w:r>
        <w:r w:rsidR="00E10543">
          <w:fldChar w:fldCharType="separate"/>
        </w:r>
        <w:r w:rsidR="00CC1271">
          <w:rPr>
            <w:noProof/>
          </w:rPr>
          <w:t>25</w:t>
        </w:r>
        <w:r w:rsidR="00E10543">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75E19"/>
    <w:multiLevelType w:val="hybridMultilevel"/>
    <w:tmpl w:val="648CA6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37637D"/>
    <w:multiLevelType w:val="multilevel"/>
    <w:tmpl w:val="F1BA079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B5A2B80"/>
    <w:multiLevelType w:val="multilevel"/>
    <w:tmpl w:val="023C1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DE6E28"/>
    <w:multiLevelType w:val="multilevel"/>
    <w:tmpl w:val="704C8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365D1E"/>
    <w:multiLevelType w:val="multilevel"/>
    <w:tmpl w:val="173A50C4"/>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251187"/>
    <w:multiLevelType w:val="hybridMultilevel"/>
    <w:tmpl w:val="2E9EA96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E00EB6"/>
    <w:multiLevelType w:val="multilevel"/>
    <w:tmpl w:val="425C4B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13476CF"/>
    <w:multiLevelType w:val="multilevel"/>
    <w:tmpl w:val="88BE6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53173AE"/>
    <w:multiLevelType w:val="multilevel"/>
    <w:tmpl w:val="3958499C"/>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5444FF5"/>
    <w:multiLevelType w:val="multilevel"/>
    <w:tmpl w:val="68749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E436AD"/>
    <w:multiLevelType w:val="hybridMultilevel"/>
    <w:tmpl w:val="489C1C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46F5573"/>
    <w:multiLevelType w:val="hybridMultilevel"/>
    <w:tmpl w:val="B480483C"/>
    <w:lvl w:ilvl="0" w:tplc="5A5E357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4FF4997"/>
    <w:multiLevelType w:val="hybridMultilevel"/>
    <w:tmpl w:val="DEA2A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AA51DD"/>
    <w:multiLevelType w:val="hybridMultilevel"/>
    <w:tmpl w:val="AE5A22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7D23DB3"/>
    <w:multiLevelType w:val="hybridMultilevel"/>
    <w:tmpl w:val="DB3C22C4"/>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8C644AE"/>
    <w:multiLevelType w:val="multilevel"/>
    <w:tmpl w:val="2DC43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E2290D"/>
    <w:multiLevelType w:val="multilevel"/>
    <w:tmpl w:val="1BD05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11751A8"/>
    <w:multiLevelType w:val="multilevel"/>
    <w:tmpl w:val="AFA00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C2624B"/>
    <w:multiLevelType w:val="multilevel"/>
    <w:tmpl w:val="32B25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26900A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C29003E"/>
    <w:multiLevelType w:val="multilevel"/>
    <w:tmpl w:val="CE3EB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E526AF"/>
    <w:multiLevelType w:val="hybridMultilevel"/>
    <w:tmpl w:val="8B5E30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2F67FAA"/>
    <w:multiLevelType w:val="hybridMultilevel"/>
    <w:tmpl w:val="16CC13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3263A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7D8530C"/>
    <w:multiLevelType w:val="multilevel"/>
    <w:tmpl w:val="6308C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B8E136F"/>
    <w:multiLevelType w:val="multilevel"/>
    <w:tmpl w:val="99E43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073DB3"/>
    <w:multiLevelType w:val="multilevel"/>
    <w:tmpl w:val="7CE4D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C3E7084"/>
    <w:multiLevelType w:val="multilevel"/>
    <w:tmpl w:val="9000F8C0"/>
    <w:lvl w:ilvl="0">
      <w:start w:val="1"/>
      <w:numFmt w:val="bullet"/>
      <w:lvlText w:val="●"/>
      <w:lvlJc w:val="left"/>
      <w:pPr>
        <w:ind w:left="720" w:hanging="360"/>
      </w:pPr>
      <w:rPr>
        <w:rFonts w:ascii="Arial" w:eastAsia="Arial" w:hAnsi="Arial" w:cs="Arial"/>
        <w:color w:val="2626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7E201F"/>
    <w:multiLevelType w:val="multilevel"/>
    <w:tmpl w:val="093A3B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10703F6"/>
    <w:multiLevelType w:val="hybridMultilevel"/>
    <w:tmpl w:val="0E20452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3EF0AF8"/>
    <w:multiLevelType w:val="multilevel"/>
    <w:tmpl w:val="0980B6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D604BCE"/>
    <w:multiLevelType w:val="multilevel"/>
    <w:tmpl w:val="B608C2C4"/>
    <w:lvl w:ilvl="0">
      <w:start w:val="1"/>
      <w:numFmt w:val="lowerLetter"/>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15:restartNumberingAfterBreak="0">
    <w:nsid w:val="7145212F"/>
    <w:multiLevelType w:val="multilevel"/>
    <w:tmpl w:val="7C5E8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2311CA5"/>
    <w:multiLevelType w:val="multilevel"/>
    <w:tmpl w:val="30E08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24F11FC"/>
    <w:multiLevelType w:val="multilevel"/>
    <w:tmpl w:val="5B8EEB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3722F5B"/>
    <w:multiLevelType w:val="hybridMultilevel"/>
    <w:tmpl w:val="E7DEED16"/>
    <w:lvl w:ilvl="0" w:tplc="3CECB964">
      <w:start w:val="10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4E24116"/>
    <w:multiLevelType w:val="multilevel"/>
    <w:tmpl w:val="32A40E8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75C5570C"/>
    <w:multiLevelType w:val="multilevel"/>
    <w:tmpl w:val="3AEAA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95A3FD6"/>
    <w:multiLevelType w:val="hybridMultilevel"/>
    <w:tmpl w:val="583C55CA"/>
    <w:lvl w:ilvl="0" w:tplc="C9D20C40">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C036402"/>
    <w:multiLevelType w:val="hybridMultilevel"/>
    <w:tmpl w:val="789A2D8E"/>
    <w:lvl w:ilvl="0" w:tplc="C9D20C40">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D487EEA"/>
    <w:multiLevelType w:val="multilevel"/>
    <w:tmpl w:val="31ECA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8"/>
  </w:num>
  <w:num w:numId="3">
    <w:abstractNumId w:val="31"/>
  </w:num>
  <w:num w:numId="4">
    <w:abstractNumId w:val="36"/>
  </w:num>
  <w:num w:numId="5">
    <w:abstractNumId w:val="26"/>
  </w:num>
  <w:num w:numId="6">
    <w:abstractNumId w:val="23"/>
  </w:num>
  <w:num w:numId="7">
    <w:abstractNumId w:val="19"/>
  </w:num>
  <w:num w:numId="8">
    <w:abstractNumId w:val="14"/>
  </w:num>
  <w:num w:numId="9">
    <w:abstractNumId w:val="35"/>
  </w:num>
  <w:num w:numId="10">
    <w:abstractNumId w:val="11"/>
  </w:num>
  <w:num w:numId="11">
    <w:abstractNumId w:val="39"/>
  </w:num>
  <w:num w:numId="12">
    <w:abstractNumId w:val="28"/>
  </w:num>
  <w:num w:numId="13">
    <w:abstractNumId w:val="1"/>
  </w:num>
  <w:num w:numId="14">
    <w:abstractNumId w:val="0"/>
  </w:num>
  <w:num w:numId="15">
    <w:abstractNumId w:val="13"/>
  </w:num>
  <w:num w:numId="16">
    <w:abstractNumId w:val="21"/>
  </w:num>
  <w:num w:numId="17">
    <w:abstractNumId w:val="22"/>
  </w:num>
  <w:num w:numId="18">
    <w:abstractNumId w:val="29"/>
  </w:num>
  <w:num w:numId="19">
    <w:abstractNumId w:val="27"/>
  </w:num>
  <w:num w:numId="20">
    <w:abstractNumId w:val="33"/>
  </w:num>
  <w:num w:numId="21">
    <w:abstractNumId w:val="30"/>
  </w:num>
  <w:num w:numId="22">
    <w:abstractNumId w:val="15"/>
  </w:num>
  <w:num w:numId="23">
    <w:abstractNumId w:val="34"/>
  </w:num>
  <w:num w:numId="24">
    <w:abstractNumId w:val="24"/>
  </w:num>
  <w:num w:numId="25">
    <w:abstractNumId w:val="37"/>
  </w:num>
  <w:num w:numId="26">
    <w:abstractNumId w:val="32"/>
  </w:num>
  <w:num w:numId="27">
    <w:abstractNumId w:val="16"/>
  </w:num>
  <w:num w:numId="28">
    <w:abstractNumId w:val="25"/>
  </w:num>
  <w:num w:numId="29">
    <w:abstractNumId w:val="18"/>
  </w:num>
  <w:num w:numId="30">
    <w:abstractNumId w:val="40"/>
  </w:num>
  <w:num w:numId="31">
    <w:abstractNumId w:val="9"/>
  </w:num>
  <w:num w:numId="32">
    <w:abstractNumId w:val="20"/>
  </w:num>
  <w:num w:numId="33">
    <w:abstractNumId w:val="6"/>
  </w:num>
  <w:num w:numId="34">
    <w:abstractNumId w:val="17"/>
  </w:num>
  <w:num w:numId="35">
    <w:abstractNumId w:val="2"/>
  </w:num>
  <w:num w:numId="36">
    <w:abstractNumId w:val="7"/>
  </w:num>
  <w:num w:numId="37">
    <w:abstractNumId w:val="3"/>
  </w:num>
  <w:num w:numId="38">
    <w:abstractNumId w:val="12"/>
  </w:num>
  <w:num w:numId="39">
    <w:abstractNumId w:val="10"/>
  </w:num>
  <w:num w:numId="40">
    <w:abstractNumId w:val="5"/>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FAE"/>
    <w:rsid w:val="000005AE"/>
    <w:rsid w:val="000038B4"/>
    <w:rsid w:val="0001377C"/>
    <w:rsid w:val="00027FC0"/>
    <w:rsid w:val="00033F72"/>
    <w:rsid w:val="00036589"/>
    <w:rsid w:val="0004619D"/>
    <w:rsid w:val="00055565"/>
    <w:rsid w:val="00087FB7"/>
    <w:rsid w:val="0009125D"/>
    <w:rsid w:val="000965A7"/>
    <w:rsid w:val="000A56C8"/>
    <w:rsid w:val="000B307B"/>
    <w:rsid w:val="000C63EC"/>
    <w:rsid w:val="000D2EEC"/>
    <w:rsid w:val="000D748D"/>
    <w:rsid w:val="000E1B2D"/>
    <w:rsid w:val="000E2145"/>
    <w:rsid w:val="000E22C0"/>
    <w:rsid w:val="000E5BF5"/>
    <w:rsid w:val="000F2427"/>
    <w:rsid w:val="000F56DF"/>
    <w:rsid w:val="00117531"/>
    <w:rsid w:val="00121712"/>
    <w:rsid w:val="001257A4"/>
    <w:rsid w:val="0013272C"/>
    <w:rsid w:val="00132CB5"/>
    <w:rsid w:val="001368C4"/>
    <w:rsid w:val="00146F8D"/>
    <w:rsid w:val="00151B52"/>
    <w:rsid w:val="00154B97"/>
    <w:rsid w:val="00171538"/>
    <w:rsid w:val="00175650"/>
    <w:rsid w:val="00175ACE"/>
    <w:rsid w:val="00181CB9"/>
    <w:rsid w:val="00182710"/>
    <w:rsid w:val="001833E2"/>
    <w:rsid w:val="00184420"/>
    <w:rsid w:val="00187E87"/>
    <w:rsid w:val="001A7176"/>
    <w:rsid w:val="001A7F25"/>
    <w:rsid w:val="001B7B1F"/>
    <w:rsid w:val="001F05CE"/>
    <w:rsid w:val="002532CA"/>
    <w:rsid w:val="0027301F"/>
    <w:rsid w:val="00286862"/>
    <w:rsid w:val="00286CA8"/>
    <w:rsid w:val="002C1CA8"/>
    <w:rsid w:val="002C2B1C"/>
    <w:rsid w:val="002C67EF"/>
    <w:rsid w:val="002D4BBA"/>
    <w:rsid w:val="002D593A"/>
    <w:rsid w:val="003213C1"/>
    <w:rsid w:val="00322414"/>
    <w:rsid w:val="003226F3"/>
    <w:rsid w:val="003229E6"/>
    <w:rsid w:val="003439CC"/>
    <w:rsid w:val="00346FED"/>
    <w:rsid w:val="0035562C"/>
    <w:rsid w:val="003B3AE8"/>
    <w:rsid w:val="003B4BBC"/>
    <w:rsid w:val="003D2B00"/>
    <w:rsid w:val="003F22F9"/>
    <w:rsid w:val="003F3C7F"/>
    <w:rsid w:val="00420DC8"/>
    <w:rsid w:val="0042357B"/>
    <w:rsid w:val="00425743"/>
    <w:rsid w:val="00427214"/>
    <w:rsid w:val="00434DFB"/>
    <w:rsid w:val="0044256F"/>
    <w:rsid w:val="00442B7E"/>
    <w:rsid w:val="00472116"/>
    <w:rsid w:val="00473BA5"/>
    <w:rsid w:val="0047400B"/>
    <w:rsid w:val="004A36DD"/>
    <w:rsid w:val="004D626A"/>
    <w:rsid w:val="004E76F4"/>
    <w:rsid w:val="004F6BEE"/>
    <w:rsid w:val="004F7052"/>
    <w:rsid w:val="00517119"/>
    <w:rsid w:val="005468AB"/>
    <w:rsid w:val="00547E52"/>
    <w:rsid w:val="00555612"/>
    <w:rsid w:val="0055594B"/>
    <w:rsid w:val="00562F44"/>
    <w:rsid w:val="005735BB"/>
    <w:rsid w:val="005A05B1"/>
    <w:rsid w:val="005A4FEA"/>
    <w:rsid w:val="005A6B1D"/>
    <w:rsid w:val="005B1E02"/>
    <w:rsid w:val="005C4A01"/>
    <w:rsid w:val="005C5BBE"/>
    <w:rsid w:val="005C6A68"/>
    <w:rsid w:val="005D0D55"/>
    <w:rsid w:val="005E5ABA"/>
    <w:rsid w:val="00617912"/>
    <w:rsid w:val="006262A2"/>
    <w:rsid w:val="00646512"/>
    <w:rsid w:val="00652C31"/>
    <w:rsid w:val="006822E0"/>
    <w:rsid w:val="0068422A"/>
    <w:rsid w:val="00684C1D"/>
    <w:rsid w:val="00693456"/>
    <w:rsid w:val="00695E67"/>
    <w:rsid w:val="006A79EB"/>
    <w:rsid w:val="006C6267"/>
    <w:rsid w:val="006D06F8"/>
    <w:rsid w:val="006D78B3"/>
    <w:rsid w:val="006E0C82"/>
    <w:rsid w:val="006E1180"/>
    <w:rsid w:val="006F374B"/>
    <w:rsid w:val="00703031"/>
    <w:rsid w:val="00711BBE"/>
    <w:rsid w:val="00713843"/>
    <w:rsid w:val="007226CC"/>
    <w:rsid w:val="00731B0F"/>
    <w:rsid w:val="00732EC4"/>
    <w:rsid w:val="00740E87"/>
    <w:rsid w:val="00756FAE"/>
    <w:rsid w:val="00757D88"/>
    <w:rsid w:val="00781A8F"/>
    <w:rsid w:val="007829E1"/>
    <w:rsid w:val="0079244A"/>
    <w:rsid w:val="007C4BB0"/>
    <w:rsid w:val="007D2593"/>
    <w:rsid w:val="007E03FE"/>
    <w:rsid w:val="007E51D3"/>
    <w:rsid w:val="007F1017"/>
    <w:rsid w:val="007F348D"/>
    <w:rsid w:val="007F656F"/>
    <w:rsid w:val="008020F5"/>
    <w:rsid w:val="008035DC"/>
    <w:rsid w:val="008119D1"/>
    <w:rsid w:val="00830228"/>
    <w:rsid w:val="008414C4"/>
    <w:rsid w:val="00847BC3"/>
    <w:rsid w:val="00851138"/>
    <w:rsid w:val="00852CF3"/>
    <w:rsid w:val="00855D9C"/>
    <w:rsid w:val="00857D94"/>
    <w:rsid w:val="00872CE6"/>
    <w:rsid w:val="00873AB6"/>
    <w:rsid w:val="00884898"/>
    <w:rsid w:val="00887148"/>
    <w:rsid w:val="008B7256"/>
    <w:rsid w:val="008C4FBD"/>
    <w:rsid w:val="008C6A1F"/>
    <w:rsid w:val="008D2E81"/>
    <w:rsid w:val="008E1AFC"/>
    <w:rsid w:val="008E7783"/>
    <w:rsid w:val="008F7BFF"/>
    <w:rsid w:val="00901FF1"/>
    <w:rsid w:val="009060C9"/>
    <w:rsid w:val="00966810"/>
    <w:rsid w:val="009672C9"/>
    <w:rsid w:val="009A0244"/>
    <w:rsid w:val="009A2176"/>
    <w:rsid w:val="009C38F4"/>
    <w:rsid w:val="009C5249"/>
    <w:rsid w:val="009D79EC"/>
    <w:rsid w:val="009F412E"/>
    <w:rsid w:val="009F4ADA"/>
    <w:rsid w:val="00A110E6"/>
    <w:rsid w:val="00A210A5"/>
    <w:rsid w:val="00A24075"/>
    <w:rsid w:val="00A33597"/>
    <w:rsid w:val="00A34189"/>
    <w:rsid w:val="00A3714A"/>
    <w:rsid w:val="00A457AA"/>
    <w:rsid w:val="00A50F2B"/>
    <w:rsid w:val="00A726D4"/>
    <w:rsid w:val="00A82679"/>
    <w:rsid w:val="00AA050F"/>
    <w:rsid w:val="00AB2D74"/>
    <w:rsid w:val="00AB6ED1"/>
    <w:rsid w:val="00AC0A98"/>
    <w:rsid w:val="00AC23A3"/>
    <w:rsid w:val="00AC33EB"/>
    <w:rsid w:val="00AF4FFA"/>
    <w:rsid w:val="00B02B8D"/>
    <w:rsid w:val="00B165A1"/>
    <w:rsid w:val="00B27C9C"/>
    <w:rsid w:val="00B3025B"/>
    <w:rsid w:val="00B35A6F"/>
    <w:rsid w:val="00B45FF7"/>
    <w:rsid w:val="00B51EAD"/>
    <w:rsid w:val="00B61382"/>
    <w:rsid w:val="00B65629"/>
    <w:rsid w:val="00B7228D"/>
    <w:rsid w:val="00B837AF"/>
    <w:rsid w:val="00B90E72"/>
    <w:rsid w:val="00B91387"/>
    <w:rsid w:val="00B9563A"/>
    <w:rsid w:val="00BD7831"/>
    <w:rsid w:val="00BD784A"/>
    <w:rsid w:val="00BE3C7F"/>
    <w:rsid w:val="00BF6C16"/>
    <w:rsid w:val="00C0142A"/>
    <w:rsid w:val="00C05CD2"/>
    <w:rsid w:val="00C05FCD"/>
    <w:rsid w:val="00C2340F"/>
    <w:rsid w:val="00C27AC6"/>
    <w:rsid w:val="00C32ADD"/>
    <w:rsid w:val="00C365FD"/>
    <w:rsid w:val="00C44FEE"/>
    <w:rsid w:val="00C76D9E"/>
    <w:rsid w:val="00C91806"/>
    <w:rsid w:val="00CA66EA"/>
    <w:rsid w:val="00CC11FE"/>
    <w:rsid w:val="00CC1271"/>
    <w:rsid w:val="00CC4AE6"/>
    <w:rsid w:val="00CC586F"/>
    <w:rsid w:val="00CF46D9"/>
    <w:rsid w:val="00CF7178"/>
    <w:rsid w:val="00CF7805"/>
    <w:rsid w:val="00D00D25"/>
    <w:rsid w:val="00D153C2"/>
    <w:rsid w:val="00D24E59"/>
    <w:rsid w:val="00D42A7C"/>
    <w:rsid w:val="00D463E0"/>
    <w:rsid w:val="00D46C49"/>
    <w:rsid w:val="00D66526"/>
    <w:rsid w:val="00D7015C"/>
    <w:rsid w:val="00D70FD6"/>
    <w:rsid w:val="00D730F3"/>
    <w:rsid w:val="00D73E9D"/>
    <w:rsid w:val="00D76757"/>
    <w:rsid w:val="00D91068"/>
    <w:rsid w:val="00DA5CE7"/>
    <w:rsid w:val="00DB130A"/>
    <w:rsid w:val="00DB451E"/>
    <w:rsid w:val="00DB4F77"/>
    <w:rsid w:val="00DB73CC"/>
    <w:rsid w:val="00DC7AEA"/>
    <w:rsid w:val="00DD1920"/>
    <w:rsid w:val="00DE6A3E"/>
    <w:rsid w:val="00DE754D"/>
    <w:rsid w:val="00E0325B"/>
    <w:rsid w:val="00E10543"/>
    <w:rsid w:val="00E10563"/>
    <w:rsid w:val="00E11CD7"/>
    <w:rsid w:val="00E17D68"/>
    <w:rsid w:val="00E20F2A"/>
    <w:rsid w:val="00E2375B"/>
    <w:rsid w:val="00E43A18"/>
    <w:rsid w:val="00E50C2F"/>
    <w:rsid w:val="00E53C39"/>
    <w:rsid w:val="00E56BBC"/>
    <w:rsid w:val="00E57707"/>
    <w:rsid w:val="00E72FFE"/>
    <w:rsid w:val="00E75E35"/>
    <w:rsid w:val="00E76CC1"/>
    <w:rsid w:val="00E806C4"/>
    <w:rsid w:val="00E82204"/>
    <w:rsid w:val="00E82242"/>
    <w:rsid w:val="00E92A1B"/>
    <w:rsid w:val="00E9469A"/>
    <w:rsid w:val="00EA0EDA"/>
    <w:rsid w:val="00EA11B0"/>
    <w:rsid w:val="00EA2C95"/>
    <w:rsid w:val="00EA4295"/>
    <w:rsid w:val="00EA6409"/>
    <w:rsid w:val="00EA7DFA"/>
    <w:rsid w:val="00ED653F"/>
    <w:rsid w:val="00EE2430"/>
    <w:rsid w:val="00EE7A7C"/>
    <w:rsid w:val="00EF034D"/>
    <w:rsid w:val="00F00798"/>
    <w:rsid w:val="00F01A41"/>
    <w:rsid w:val="00F20E70"/>
    <w:rsid w:val="00F3272B"/>
    <w:rsid w:val="00F4184D"/>
    <w:rsid w:val="00F47FB9"/>
    <w:rsid w:val="00F550D4"/>
    <w:rsid w:val="00F71F5A"/>
    <w:rsid w:val="00F7486C"/>
    <w:rsid w:val="00F808E1"/>
    <w:rsid w:val="00F84FE0"/>
    <w:rsid w:val="00F975C2"/>
    <w:rsid w:val="00FA0202"/>
    <w:rsid w:val="00FA5755"/>
    <w:rsid w:val="00FC028F"/>
    <w:rsid w:val="00FC4495"/>
    <w:rsid w:val="00FC4582"/>
    <w:rsid w:val="00FC62F5"/>
    <w:rsid w:val="00FE292B"/>
    <w:rsid w:val="00FE561B"/>
    <w:rsid w:val="00FE75B5"/>
    <w:rsid w:val="00FE7B60"/>
    <w:rsid w:val="00FF5D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ADD19"/>
  <w15:docId w15:val="{AEA00CE4-223B-4253-A416-A1C8E50F7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A41"/>
    <w:rPr>
      <w:lang w:val="es-CO"/>
    </w:rPr>
  </w:style>
  <w:style w:type="paragraph" w:styleId="Ttulo1">
    <w:name w:val="heading 1"/>
    <w:basedOn w:val="Normal"/>
    <w:next w:val="Normal"/>
    <w:uiPriority w:val="9"/>
    <w:qFormat/>
    <w:rsid w:val="003826E0"/>
    <w:pPr>
      <w:keepNext/>
      <w:keepLines/>
      <w:spacing w:before="480" w:after="120"/>
      <w:outlineLvl w:val="0"/>
    </w:pPr>
    <w:rPr>
      <w:b/>
      <w:sz w:val="48"/>
      <w:szCs w:val="48"/>
      <w:lang w:val="es-ES"/>
    </w:rPr>
  </w:style>
  <w:style w:type="paragraph" w:styleId="Ttulo2">
    <w:name w:val="heading 2"/>
    <w:basedOn w:val="Normal"/>
    <w:next w:val="Normal"/>
    <w:uiPriority w:val="9"/>
    <w:semiHidden/>
    <w:unhideWhenUsed/>
    <w:qFormat/>
    <w:rsid w:val="003826E0"/>
    <w:pPr>
      <w:keepNext/>
      <w:keepLines/>
      <w:spacing w:before="360" w:after="80"/>
      <w:outlineLvl w:val="1"/>
    </w:pPr>
    <w:rPr>
      <w:b/>
      <w:sz w:val="36"/>
      <w:szCs w:val="36"/>
      <w:lang w:val="es-ES"/>
    </w:rPr>
  </w:style>
  <w:style w:type="paragraph" w:styleId="Ttulo3">
    <w:name w:val="heading 3"/>
    <w:basedOn w:val="Normal"/>
    <w:next w:val="Normal"/>
    <w:uiPriority w:val="9"/>
    <w:semiHidden/>
    <w:unhideWhenUsed/>
    <w:qFormat/>
    <w:rsid w:val="003826E0"/>
    <w:pPr>
      <w:keepNext/>
      <w:keepLines/>
      <w:spacing w:before="280" w:after="80"/>
      <w:outlineLvl w:val="2"/>
    </w:pPr>
    <w:rPr>
      <w:b/>
      <w:sz w:val="28"/>
      <w:szCs w:val="28"/>
      <w:lang w:val="es-ES"/>
    </w:rPr>
  </w:style>
  <w:style w:type="paragraph" w:styleId="Ttulo4">
    <w:name w:val="heading 4"/>
    <w:basedOn w:val="Normal"/>
    <w:next w:val="Normal"/>
    <w:uiPriority w:val="9"/>
    <w:semiHidden/>
    <w:unhideWhenUsed/>
    <w:qFormat/>
    <w:rsid w:val="003826E0"/>
    <w:pPr>
      <w:keepNext/>
      <w:keepLines/>
      <w:spacing w:before="240" w:after="40"/>
      <w:outlineLvl w:val="3"/>
    </w:pPr>
    <w:rPr>
      <w:b/>
      <w:lang w:val="es-ES"/>
    </w:rPr>
  </w:style>
  <w:style w:type="paragraph" w:styleId="Ttulo5">
    <w:name w:val="heading 5"/>
    <w:basedOn w:val="Normal"/>
    <w:next w:val="Normal"/>
    <w:uiPriority w:val="9"/>
    <w:semiHidden/>
    <w:unhideWhenUsed/>
    <w:qFormat/>
    <w:rsid w:val="003826E0"/>
    <w:pPr>
      <w:keepNext/>
      <w:keepLines/>
      <w:spacing w:before="220" w:after="40"/>
      <w:outlineLvl w:val="4"/>
    </w:pPr>
    <w:rPr>
      <w:b/>
      <w:sz w:val="22"/>
      <w:szCs w:val="22"/>
      <w:lang w:val="es-ES"/>
    </w:rPr>
  </w:style>
  <w:style w:type="paragraph" w:styleId="Ttulo6">
    <w:name w:val="heading 6"/>
    <w:basedOn w:val="Normal"/>
    <w:next w:val="Normal"/>
    <w:uiPriority w:val="9"/>
    <w:semiHidden/>
    <w:unhideWhenUsed/>
    <w:qFormat/>
    <w:rsid w:val="003826E0"/>
    <w:pPr>
      <w:keepNext/>
      <w:keepLines/>
      <w:spacing w:before="200" w:after="40"/>
      <w:outlineLvl w:val="5"/>
    </w:pPr>
    <w:rPr>
      <w:b/>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3826E0"/>
    <w:pPr>
      <w:keepNext/>
      <w:keepLines/>
      <w:spacing w:before="480" w:after="120"/>
    </w:pPr>
    <w:rPr>
      <w:b/>
      <w:sz w:val="72"/>
      <w:szCs w:val="72"/>
      <w:lang w:val="es-ES"/>
    </w:rPr>
  </w:style>
  <w:style w:type="table" w:customStyle="1" w:styleId="TableNormal1">
    <w:name w:val="Table Normal1"/>
    <w:rsid w:val="003826E0"/>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lang w:val="es-ES"/>
    </w:rPr>
  </w:style>
  <w:style w:type="table" w:customStyle="1" w:styleId="5">
    <w:name w:val="5"/>
    <w:basedOn w:val="TableNormal1"/>
    <w:rsid w:val="003826E0"/>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4E32CC"/>
    <w:rPr>
      <w:sz w:val="18"/>
      <w:szCs w:val="18"/>
      <w:lang w:val="es-ES"/>
    </w:rPr>
  </w:style>
  <w:style w:type="character" w:customStyle="1" w:styleId="TextodegloboCar">
    <w:name w:val="Texto de globo Car"/>
    <w:basedOn w:val="Fuentedeprrafopredeter"/>
    <w:link w:val="Textodeglobo"/>
    <w:uiPriority w:val="99"/>
    <w:semiHidden/>
    <w:rsid w:val="004E32CC"/>
    <w:rPr>
      <w:sz w:val="18"/>
      <w:szCs w:val="18"/>
    </w:rPr>
  </w:style>
  <w:style w:type="paragraph" w:styleId="Textonotapie">
    <w:name w:val="footnote text"/>
    <w:basedOn w:val="Normal"/>
    <w:link w:val="TextonotapieCar"/>
    <w:uiPriority w:val="99"/>
    <w:semiHidden/>
    <w:unhideWhenUsed/>
    <w:rsid w:val="00F87908"/>
    <w:rPr>
      <w:sz w:val="20"/>
      <w:szCs w:val="20"/>
      <w:lang w:val="es-ES"/>
    </w:rPr>
  </w:style>
  <w:style w:type="character" w:customStyle="1" w:styleId="TextonotapieCar">
    <w:name w:val="Texto nota pie Car"/>
    <w:basedOn w:val="Fuentedeprrafopredeter"/>
    <w:link w:val="Textonotapie"/>
    <w:uiPriority w:val="99"/>
    <w:semiHidden/>
    <w:rsid w:val="00F87908"/>
    <w:rPr>
      <w:sz w:val="20"/>
      <w:szCs w:val="20"/>
    </w:rPr>
  </w:style>
  <w:style w:type="character" w:styleId="Refdenotaalpie">
    <w:name w:val="footnote reference"/>
    <w:basedOn w:val="Fuentedeprrafopredeter"/>
    <w:uiPriority w:val="99"/>
    <w:semiHidden/>
    <w:unhideWhenUsed/>
    <w:rsid w:val="00F87908"/>
    <w:rPr>
      <w:vertAlign w:val="superscript"/>
    </w:rPr>
  </w:style>
  <w:style w:type="character" w:customStyle="1" w:styleId="apple-converted-space">
    <w:name w:val="apple-converted-space"/>
    <w:basedOn w:val="Fuentedeprrafopredeter"/>
    <w:rsid w:val="00F87908"/>
  </w:style>
  <w:style w:type="paragraph" w:styleId="NormalWeb">
    <w:name w:val="Normal (Web)"/>
    <w:basedOn w:val="Normal"/>
    <w:uiPriority w:val="99"/>
    <w:unhideWhenUsed/>
    <w:rsid w:val="00BD0DE8"/>
    <w:pPr>
      <w:spacing w:before="100" w:beforeAutospacing="1" w:after="100" w:afterAutospacing="1"/>
    </w:pPr>
  </w:style>
  <w:style w:type="paragraph" w:styleId="Prrafodelista">
    <w:name w:val="List Paragraph"/>
    <w:aliases w:val="Ha,Resume Title,titulo 3,Bullet,Párrafo de lista1,Lista vistosa - Énfasis 11,HOJA,Bolita,Párrafo de lista4,BOLADEF,Párrafo de lista2,Párrafo de lista3,Párrafo de lista21,BOLA,Nivel 1 OS,Colorful List Accent 1,Colorful List - Accent 11"/>
    <w:basedOn w:val="Normal"/>
    <w:link w:val="PrrafodelistaCar"/>
    <w:uiPriority w:val="34"/>
    <w:qFormat/>
    <w:rsid w:val="00000A2F"/>
    <w:pPr>
      <w:ind w:left="720"/>
      <w:contextualSpacing/>
    </w:pPr>
    <w:rPr>
      <w:lang w:val="es-ES"/>
    </w:rPr>
  </w:style>
  <w:style w:type="paragraph" w:styleId="Revisin">
    <w:name w:val="Revision"/>
    <w:hidden/>
    <w:uiPriority w:val="99"/>
    <w:semiHidden/>
    <w:rsid w:val="00C678BE"/>
  </w:style>
  <w:style w:type="paragraph" w:styleId="Encabezado">
    <w:name w:val="header"/>
    <w:basedOn w:val="Normal"/>
    <w:link w:val="EncabezadoCar"/>
    <w:uiPriority w:val="99"/>
    <w:unhideWhenUsed/>
    <w:rsid w:val="00AF4FDB"/>
    <w:pPr>
      <w:tabs>
        <w:tab w:val="center" w:pos="4252"/>
        <w:tab w:val="right" w:pos="8504"/>
      </w:tabs>
    </w:pPr>
    <w:rPr>
      <w:lang w:val="es-ES"/>
    </w:rPr>
  </w:style>
  <w:style w:type="character" w:customStyle="1" w:styleId="EncabezadoCar">
    <w:name w:val="Encabezado Car"/>
    <w:basedOn w:val="Fuentedeprrafopredeter"/>
    <w:link w:val="Encabezado"/>
    <w:uiPriority w:val="99"/>
    <w:rsid w:val="00AF4FDB"/>
  </w:style>
  <w:style w:type="paragraph" w:styleId="Piedepgina">
    <w:name w:val="footer"/>
    <w:basedOn w:val="Normal"/>
    <w:link w:val="PiedepginaCar"/>
    <w:uiPriority w:val="99"/>
    <w:unhideWhenUsed/>
    <w:rsid w:val="00AF4FDB"/>
    <w:pPr>
      <w:tabs>
        <w:tab w:val="center" w:pos="4252"/>
        <w:tab w:val="right" w:pos="8504"/>
      </w:tabs>
    </w:pPr>
    <w:rPr>
      <w:lang w:val="es-ES"/>
    </w:rPr>
  </w:style>
  <w:style w:type="character" w:customStyle="1" w:styleId="PiedepginaCar">
    <w:name w:val="Pie de página Car"/>
    <w:basedOn w:val="Fuentedeprrafopredeter"/>
    <w:link w:val="Piedepgina"/>
    <w:uiPriority w:val="99"/>
    <w:rsid w:val="00AF4FDB"/>
  </w:style>
  <w:style w:type="table" w:styleId="Tablaconcuadrcula">
    <w:name w:val="Table Grid"/>
    <w:basedOn w:val="Tablanormal"/>
    <w:uiPriority w:val="39"/>
    <w:rsid w:val="00C166FA"/>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4"/>
    <w:basedOn w:val="TableNormal1"/>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3">
    <w:name w:val="3"/>
    <w:basedOn w:val="TableNormal1"/>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1"/>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1">
    <w:name w:val="1"/>
    <w:basedOn w:val="TableNormal1"/>
    <w:rPr>
      <w:rFonts w:ascii="Cambria" w:eastAsia="Cambria" w:hAnsi="Cambria" w:cs="Cambria"/>
      <w:sz w:val="22"/>
      <w:szCs w:val="22"/>
    </w:rPr>
    <w:tblPr>
      <w:tblStyleRowBandSize w:val="1"/>
      <w:tblStyleColBandSize w:val="1"/>
      <w:tblCellMar>
        <w:left w:w="108" w:type="dxa"/>
        <w:right w:w="108" w:type="dxa"/>
      </w:tblCellMar>
    </w:tblPr>
  </w:style>
  <w:style w:type="paragraph" w:styleId="Sinespaciado">
    <w:name w:val="No Spacing"/>
    <w:link w:val="SinespaciadoCar"/>
    <w:uiPriority w:val="1"/>
    <w:qFormat/>
    <w:rsid w:val="005A4FEA"/>
    <w:rPr>
      <w:rFonts w:asciiTheme="minorHAnsi" w:eastAsiaTheme="minorHAnsi" w:hAnsiTheme="minorHAnsi" w:cstheme="minorBidi"/>
      <w:sz w:val="22"/>
      <w:szCs w:val="22"/>
      <w:lang w:val="es-CO" w:eastAsia="en-US"/>
    </w:rPr>
  </w:style>
  <w:style w:type="character" w:customStyle="1" w:styleId="SinespaciadoCar">
    <w:name w:val="Sin espaciado Car"/>
    <w:link w:val="Sinespaciado"/>
    <w:uiPriority w:val="1"/>
    <w:locked/>
    <w:rsid w:val="005A4FEA"/>
    <w:rPr>
      <w:rFonts w:asciiTheme="minorHAnsi" w:eastAsiaTheme="minorHAnsi" w:hAnsiTheme="minorHAnsi" w:cstheme="minorBidi"/>
      <w:sz w:val="22"/>
      <w:szCs w:val="22"/>
      <w:lang w:val="es-CO" w:eastAsia="en-US"/>
    </w:rPr>
  </w:style>
  <w:style w:type="character" w:customStyle="1" w:styleId="PrrafodelistaCar">
    <w:name w:val="Párrafo de lista Car"/>
    <w:aliases w:val="Ha Car,Resume Title Car,titulo 3 Car,Bullet Car,Párrafo de lista1 Car,Lista vistosa - Énfasis 11 Car,HOJA Car,Bolita Car,Párrafo de lista4 Car,BOLADEF Car,Párrafo de lista2 Car,Párrafo de lista3 Car,Párrafo de lista21 Car,BOLA Car"/>
    <w:link w:val="Prrafodelista"/>
    <w:uiPriority w:val="34"/>
    <w:locked/>
    <w:rsid w:val="00EA2C95"/>
  </w:style>
  <w:style w:type="character" w:styleId="Hipervnculo">
    <w:name w:val="Hyperlink"/>
    <w:basedOn w:val="Fuentedeprrafopredeter"/>
    <w:uiPriority w:val="99"/>
    <w:unhideWhenUsed/>
    <w:rsid w:val="00617912"/>
    <w:rPr>
      <w:color w:val="0000FF" w:themeColor="hyperlink"/>
      <w:u w:val="single"/>
    </w:rPr>
  </w:style>
  <w:style w:type="character" w:customStyle="1" w:styleId="Mencinsinresolver1">
    <w:name w:val="Mención sin resolver1"/>
    <w:basedOn w:val="Fuentedeprrafopredeter"/>
    <w:uiPriority w:val="99"/>
    <w:semiHidden/>
    <w:unhideWhenUsed/>
    <w:rsid w:val="00617912"/>
    <w:rPr>
      <w:color w:val="605E5C"/>
      <w:shd w:val="clear" w:color="auto" w:fill="E1DFDD"/>
    </w:rPr>
  </w:style>
  <w:style w:type="character" w:styleId="nfasis">
    <w:name w:val="Emphasis"/>
    <w:basedOn w:val="Fuentedeprrafopredeter"/>
    <w:uiPriority w:val="20"/>
    <w:qFormat/>
    <w:rsid w:val="00FA0202"/>
    <w:rPr>
      <w:i/>
      <w:iCs/>
    </w:rPr>
  </w:style>
  <w:style w:type="paragraph" w:customStyle="1" w:styleId="Default">
    <w:name w:val="Default"/>
    <w:rsid w:val="00420DC8"/>
    <w:pPr>
      <w:autoSpaceDE w:val="0"/>
      <w:autoSpaceDN w:val="0"/>
      <w:adjustRightInd w:val="0"/>
    </w:pPr>
    <w:rPr>
      <w:rFonts w:ascii="Arial" w:eastAsia="Calibri" w:hAnsi="Arial" w:cs="Arial"/>
      <w:color w:val="000000"/>
      <w:lang w:val="es-CO" w:eastAsia="en-US"/>
    </w:rPr>
  </w:style>
  <w:style w:type="paragraph" w:styleId="Descripcin">
    <w:name w:val="caption"/>
    <w:basedOn w:val="Normal"/>
    <w:next w:val="Normal"/>
    <w:uiPriority w:val="35"/>
    <w:unhideWhenUsed/>
    <w:qFormat/>
    <w:rsid w:val="005735BB"/>
    <w:pPr>
      <w:spacing w:after="200"/>
    </w:pPr>
    <w:rPr>
      <w:i/>
      <w:iCs/>
      <w:color w:val="1F497D" w:themeColor="text2"/>
      <w:sz w:val="18"/>
      <w:szCs w:val="18"/>
    </w:rPr>
  </w:style>
  <w:style w:type="character" w:styleId="Nmerodepgina">
    <w:name w:val="page number"/>
    <w:basedOn w:val="Fuentedeprrafopredeter"/>
    <w:uiPriority w:val="99"/>
    <w:unhideWhenUsed/>
    <w:rsid w:val="00FE292B"/>
  </w:style>
  <w:style w:type="character" w:styleId="Refdecomentario">
    <w:name w:val="annotation reference"/>
    <w:basedOn w:val="Fuentedeprrafopredeter"/>
    <w:uiPriority w:val="99"/>
    <w:semiHidden/>
    <w:unhideWhenUsed/>
    <w:rsid w:val="00652C31"/>
    <w:rPr>
      <w:sz w:val="16"/>
      <w:szCs w:val="16"/>
    </w:rPr>
  </w:style>
  <w:style w:type="paragraph" w:styleId="Textocomentario">
    <w:name w:val="annotation text"/>
    <w:basedOn w:val="Normal"/>
    <w:link w:val="TextocomentarioCar"/>
    <w:uiPriority w:val="99"/>
    <w:semiHidden/>
    <w:unhideWhenUsed/>
    <w:rsid w:val="00652C31"/>
    <w:rPr>
      <w:sz w:val="20"/>
      <w:szCs w:val="20"/>
    </w:rPr>
  </w:style>
  <w:style w:type="character" w:customStyle="1" w:styleId="TextocomentarioCar">
    <w:name w:val="Texto comentario Car"/>
    <w:basedOn w:val="Fuentedeprrafopredeter"/>
    <w:link w:val="Textocomentario"/>
    <w:uiPriority w:val="99"/>
    <w:semiHidden/>
    <w:rsid w:val="00652C31"/>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652C31"/>
    <w:rPr>
      <w:b/>
      <w:bCs/>
    </w:rPr>
  </w:style>
  <w:style w:type="character" w:customStyle="1" w:styleId="AsuntodelcomentarioCar">
    <w:name w:val="Asunto del comentario Car"/>
    <w:basedOn w:val="TextocomentarioCar"/>
    <w:link w:val="Asuntodelcomentario"/>
    <w:uiPriority w:val="99"/>
    <w:semiHidden/>
    <w:rsid w:val="00652C31"/>
    <w:rPr>
      <w:b/>
      <w:bCs/>
      <w:sz w:val="20"/>
      <w:szCs w:val="20"/>
      <w:lang w:val="es-CO"/>
    </w:rPr>
  </w:style>
  <w:style w:type="character" w:customStyle="1" w:styleId="UnresolvedMention">
    <w:name w:val="Unresolved Mention"/>
    <w:basedOn w:val="Fuentedeprrafopredeter"/>
    <w:uiPriority w:val="99"/>
    <w:semiHidden/>
    <w:unhideWhenUsed/>
    <w:rsid w:val="00C76D9E"/>
    <w:rPr>
      <w:color w:val="605E5C"/>
      <w:shd w:val="clear" w:color="auto" w:fill="E1DFDD"/>
    </w:rPr>
  </w:style>
  <w:style w:type="character" w:styleId="Textoennegrita">
    <w:name w:val="Strong"/>
    <w:basedOn w:val="Fuentedeprrafopredeter"/>
    <w:uiPriority w:val="22"/>
    <w:qFormat/>
    <w:rsid w:val="008B72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7286">
      <w:bodyDiv w:val="1"/>
      <w:marLeft w:val="0"/>
      <w:marRight w:val="0"/>
      <w:marTop w:val="0"/>
      <w:marBottom w:val="0"/>
      <w:divBdr>
        <w:top w:val="none" w:sz="0" w:space="0" w:color="auto"/>
        <w:left w:val="none" w:sz="0" w:space="0" w:color="auto"/>
        <w:bottom w:val="none" w:sz="0" w:space="0" w:color="auto"/>
        <w:right w:val="none" w:sz="0" w:space="0" w:color="auto"/>
      </w:divBdr>
    </w:div>
    <w:div w:id="15933040">
      <w:bodyDiv w:val="1"/>
      <w:marLeft w:val="0"/>
      <w:marRight w:val="0"/>
      <w:marTop w:val="0"/>
      <w:marBottom w:val="0"/>
      <w:divBdr>
        <w:top w:val="none" w:sz="0" w:space="0" w:color="auto"/>
        <w:left w:val="none" w:sz="0" w:space="0" w:color="auto"/>
        <w:bottom w:val="none" w:sz="0" w:space="0" w:color="auto"/>
        <w:right w:val="none" w:sz="0" w:space="0" w:color="auto"/>
      </w:divBdr>
    </w:div>
    <w:div w:id="77791291">
      <w:bodyDiv w:val="1"/>
      <w:marLeft w:val="0"/>
      <w:marRight w:val="0"/>
      <w:marTop w:val="0"/>
      <w:marBottom w:val="0"/>
      <w:divBdr>
        <w:top w:val="none" w:sz="0" w:space="0" w:color="auto"/>
        <w:left w:val="none" w:sz="0" w:space="0" w:color="auto"/>
        <w:bottom w:val="none" w:sz="0" w:space="0" w:color="auto"/>
        <w:right w:val="none" w:sz="0" w:space="0" w:color="auto"/>
      </w:divBdr>
    </w:div>
    <w:div w:id="87044900">
      <w:bodyDiv w:val="1"/>
      <w:marLeft w:val="0"/>
      <w:marRight w:val="0"/>
      <w:marTop w:val="0"/>
      <w:marBottom w:val="0"/>
      <w:divBdr>
        <w:top w:val="none" w:sz="0" w:space="0" w:color="auto"/>
        <w:left w:val="none" w:sz="0" w:space="0" w:color="auto"/>
        <w:bottom w:val="none" w:sz="0" w:space="0" w:color="auto"/>
        <w:right w:val="none" w:sz="0" w:space="0" w:color="auto"/>
      </w:divBdr>
    </w:div>
    <w:div w:id="225990627">
      <w:bodyDiv w:val="1"/>
      <w:marLeft w:val="0"/>
      <w:marRight w:val="0"/>
      <w:marTop w:val="0"/>
      <w:marBottom w:val="0"/>
      <w:divBdr>
        <w:top w:val="none" w:sz="0" w:space="0" w:color="auto"/>
        <w:left w:val="none" w:sz="0" w:space="0" w:color="auto"/>
        <w:bottom w:val="none" w:sz="0" w:space="0" w:color="auto"/>
        <w:right w:val="none" w:sz="0" w:space="0" w:color="auto"/>
      </w:divBdr>
    </w:div>
    <w:div w:id="398796505">
      <w:bodyDiv w:val="1"/>
      <w:marLeft w:val="0"/>
      <w:marRight w:val="0"/>
      <w:marTop w:val="0"/>
      <w:marBottom w:val="0"/>
      <w:divBdr>
        <w:top w:val="none" w:sz="0" w:space="0" w:color="auto"/>
        <w:left w:val="none" w:sz="0" w:space="0" w:color="auto"/>
        <w:bottom w:val="none" w:sz="0" w:space="0" w:color="auto"/>
        <w:right w:val="none" w:sz="0" w:space="0" w:color="auto"/>
      </w:divBdr>
    </w:div>
    <w:div w:id="505367233">
      <w:bodyDiv w:val="1"/>
      <w:marLeft w:val="0"/>
      <w:marRight w:val="0"/>
      <w:marTop w:val="0"/>
      <w:marBottom w:val="0"/>
      <w:divBdr>
        <w:top w:val="none" w:sz="0" w:space="0" w:color="auto"/>
        <w:left w:val="none" w:sz="0" w:space="0" w:color="auto"/>
        <w:bottom w:val="none" w:sz="0" w:space="0" w:color="auto"/>
        <w:right w:val="none" w:sz="0" w:space="0" w:color="auto"/>
      </w:divBdr>
    </w:div>
    <w:div w:id="512573700">
      <w:bodyDiv w:val="1"/>
      <w:marLeft w:val="0"/>
      <w:marRight w:val="0"/>
      <w:marTop w:val="0"/>
      <w:marBottom w:val="0"/>
      <w:divBdr>
        <w:top w:val="none" w:sz="0" w:space="0" w:color="auto"/>
        <w:left w:val="none" w:sz="0" w:space="0" w:color="auto"/>
        <w:bottom w:val="none" w:sz="0" w:space="0" w:color="auto"/>
        <w:right w:val="none" w:sz="0" w:space="0" w:color="auto"/>
      </w:divBdr>
    </w:div>
    <w:div w:id="608512208">
      <w:bodyDiv w:val="1"/>
      <w:marLeft w:val="0"/>
      <w:marRight w:val="0"/>
      <w:marTop w:val="0"/>
      <w:marBottom w:val="0"/>
      <w:divBdr>
        <w:top w:val="none" w:sz="0" w:space="0" w:color="auto"/>
        <w:left w:val="none" w:sz="0" w:space="0" w:color="auto"/>
        <w:bottom w:val="none" w:sz="0" w:space="0" w:color="auto"/>
        <w:right w:val="none" w:sz="0" w:space="0" w:color="auto"/>
      </w:divBdr>
    </w:div>
    <w:div w:id="612246907">
      <w:bodyDiv w:val="1"/>
      <w:marLeft w:val="0"/>
      <w:marRight w:val="0"/>
      <w:marTop w:val="0"/>
      <w:marBottom w:val="0"/>
      <w:divBdr>
        <w:top w:val="none" w:sz="0" w:space="0" w:color="auto"/>
        <w:left w:val="none" w:sz="0" w:space="0" w:color="auto"/>
        <w:bottom w:val="none" w:sz="0" w:space="0" w:color="auto"/>
        <w:right w:val="none" w:sz="0" w:space="0" w:color="auto"/>
      </w:divBdr>
    </w:div>
    <w:div w:id="623269353">
      <w:bodyDiv w:val="1"/>
      <w:marLeft w:val="0"/>
      <w:marRight w:val="0"/>
      <w:marTop w:val="0"/>
      <w:marBottom w:val="0"/>
      <w:divBdr>
        <w:top w:val="none" w:sz="0" w:space="0" w:color="auto"/>
        <w:left w:val="none" w:sz="0" w:space="0" w:color="auto"/>
        <w:bottom w:val="none" w:sz="0" w:space="0" w:color="auto"/>
        <w:right w:val="none" w:sz="0" w:space="0" w:color="auto"/>
      </w:divBdr>
    </w:div>
    <w:div w:id="643317627">
      <w:bodyDiv w:val="1"/>
      <w:marLeft w:val="0"/>
      <w:marRight w:val="0"/>
      <w:marTop w:val="0"/>
      <w:marBottom w:val="0"/>
      <w:divBdr>
        <w:top w:val="none" w:sz="0" w:space="0" w:color="auto"/>
        <w:left w:val="none" w:sz="0" w:space="0" w:color="auto"/>
        <w:bottom w:val="none" w:sz="0" w:space="0" w:color="auto"/>
        <w:right w:val="none" w:sz="0" w:space="0" w:color="auto"/>
      </w:divBdr>
    </w:div>
    <w:div w:id="687028462">
      <w:bodyDiv w:val="1"/>
      <w:marLeft w:val="0"/>
      <w:marRight w:val="0"/>
      <w:marTop w:val="0"/>
      <w:marBottom w:val="0"/>
      <w:divBdr>
        <w:top w:val="none" w:sz="0" w:space="0" w:color="auto"/>
        <w:left w:val="none" w:sz="0" w:space="0" w:color="auto"/>
        <w:bottom w:val="none" w:sz="0" w:space="0" w:color="auto"/>
        <w:right w:val="none" w:sz="0" w:space="0" w:color="auto"/>
      </w:divBdr>
    </w:div>
    <w:div w:id="695083738">
      <w:bodyDiv w:val="1"/>
      <w:marLeft w:val="0"/>
      <w:marRight w:val="0"/>
      <w:marTop w:val="0"/>
      <w:marBottom w:val="0"/>
      <w:divBdr>
        <w:top w:val="none" w:sz="0" w:space="0" w:color="auto"/>
        <w:left w:val="none" w:sz="0" w:space="0" w:color="auto"/>
        <w:bottom w:val="none" w:sz="0" w:space="0" w:color="auto"/>
        <w:right w:val="none" w:sz="0" w:space="0" w:color="auto"/>
      </w:divBdr>
    </w:div>
    <w:div w:id="828131138">
      <w:bodyDiv w:val="1"/>
      <w:marLeft w:val="0"/>
      <w:marRight w:val="0"/>
      <w:marTop w:val="0"/>
      <w:marBottom w:val="0"/>
      <w:divBdr>
        <w:top w:val="none" w:sz="0" w:space="0" w:color="auto"/>
        <w:left w:val="none" w:sz="0" w:space="0" w:color="auto"/>
        <w:bottom w:val="none" w:sz="0" w:space="0" w:color="auto"/>
        <w:right w:val="none" w:sz="0" w:space="0" w:color="auto"/>
      </w:divBdr>
    </w:div>
    <w:div w:id="829060745">
      <w:bodyDiv w:val="1"/>
      <w:marLeft w:val="0"/>
      <w:marRight w:val="0"/>
      <w:marTop w:val="0"/>
      <w:marBottom w:val="0"/>
      <w:divBdr>
        <w:top w:val="none" w:sz="0" w:space="0" w:color="auto"/>
        <w:left w:val="none" w:sz="0" w:space="0" w:color="auto"/>
        <w:bottom w:val="none" w:sz="0" w:space="0" w:color="auto"/>
        <w:right w:val="none" w:sz="0" w:space="0" w:color="auto"/>
      </w:divBdr>
    </w:div>
    <w:div w:id="895706666">
      <w:bodyDiv w:val="1"/>
      <w:marLeft w:val="0"/>
      <w:marRight w:val="0"/>
      <w:marTop w:val="0"/>
      <w:marBottom w:val="0"/>
      <w:divBdr>
        <w:top w:val="none" w:sz="0" w:space="0" w:color="auto"/>
        <w:left w:val="none" w:sz="0" w:space="0" w:color="auto"/>
        <w:bottom w:val="none" w:sz="0" w:space="0" w:color="auto"/>
        <w:right w:val="none" w:sz="0" w:space="0" w:color="auto"/>
      </w:divBdr>
    </w:div>
    <w:div w:id="896206221">
      <w:bodyDiv w:val="1"/>
      <w:marLeft w:val="0"/>
      <w:marRight w:val="0"/>
      <w:marTop w:val="0"/>
      <w:marBottom w:val="0"/>
      <w:divBdr>
        <w:top w:val="none" w:sz="0" w:space="0" w:color="auto"/>
        <w:left w:val="none" w:sz="0" w:space="0" w:color="auto"/>
        <w:bottom w:val="none" w:sz="0" w:space="0" w:color="auto"/>
        <w:right w:val="none" w:sz="0" w:space="0" w:color="auto"/>
      </w:divBdr>
    </w:div>
    <w:div w:id="903684057">
      <w:bodyDiv w:val="1"/>
      <w:marLeft w:val="0"/>
      <w:marRight w:val="0"/>
      <w:marTop w:val="0"/>
      <w:marBottom w:val="0"/>
      <w:divBdr>
        <w:top w:val="none" w:sz="0" w:space="0" w:color="auto"/>
        <w:left w:val="none" w:sz="0" w:space="0" w:color="auto"/>
        <w:bottom w:val="none" w:sz="0" w:space="0" w:color="auto"/>
        <w:right w:val="none" w:sz="0" w:space="0" w:color="auto"/>
      </w:divBdr>
    </w:div>
    <w:div w:id="923957658">
      <w:bodyDiv w:val="1"/>
      <w:marLeft w:val="0"/>
      <w:marRight w:val="0"/>
      <w:marTop w:val="0"/>
      <w:marBottom w:val="0"/>
      <w:divBdr>
        <w:top w:val="none" w:sz="0" w:space="0" w:color="auto"/>
        <w:left w:val="none" w:sz="0" w:space="0" w:color="auto"/>
        <w:bottom w:val="none" w:sz="0" w:space="0" w:color="auto"/>
        <w:right w:val="none" w:sz="0" w:space="0" w:color="auto"/>
      </w:divBdr>
    </w:div>
    <w:div w:id="1017541467">
      <w:bodyDiv w:val="1"/>
      <w:marLeft w:val="0"/>
      <w:marRight w:val="0"/>
      <w:marTop w:val="0"/>
      <w:marBottom w:val="0"/>
      <w:divBdr>
        <w:top w:val="none" w:sz="0" w:space="0" w:color="auto"/>
        <w:left w:val="none" w:sz="0" w:space="0" w:color="auto"/>
        <w:bottom w:val="none" w:sz="0" w:space="0" w:color="auto"/>
        <w:right w:val="none" w:sz="0" w:space="0" w:color="auto"/>
      </w:divBdr>
    </w:div>
    <w:div w:id="1046491399">
      <w:bodyDiv w:val="1"/>
      <w:marLeft w:val="0"/>
      <w:marRight w:val="0"/>
      <w:marTop w:val="0"/>
      <w:marBottom w:val="0"/>
      <w:divBdr>
        <w:top w:val="none" w:sz="0" w:space="0" w:color="auto"/>
        <w:left w:val="none" w:sz="0" w:space="0" w:color="auto"/>
        <w:bottom w:val="none" w:sz="0" w:space="0" w:color="auto"/>
        <w:right w:val="none" w:sz="0" w:space="0" w:color="auto"/>
      </w:divBdr>
    </w:div>
    <w:div w:id="1067993511">
      <w:bodyDiv w:val="1"/>
      <w:marLeft w:val="0"/>
      <w:marRight w:val="0"/>
      <w:marTop w:val="0"/>
      <w:marBottom w:val="0"/>
      <w:divBdr>
        <w:top w:val="none" w:sz="0" w:space="0" w:color="auto"/>
        <w:left w:val="none" w:sz="0" w:space="0" w:color="auto"/>
        <w:bottom w:val="none" w:sz="0" w:space="0" w:color="auto"/>
        <w:right w:val="none" w:sz="0" w:space="0" w:color="auto"/>
      </w:divBdr>
    </w:div>
    <w:div w:id="1077284504">
      <w:bodyDiv w:val="1"/>
      <w:marLeft w:val="0"/>
      <w:marRight w:val="0"/>
      <w:marTop w:val="0"/>
      <w:marBottom w:val="0"/>
      <w:divBdr>
        <w:top w:val="none" w:sz="0" w:space="0" w:color="auto"/>
        <w:left w:val="none" w:sz="0" w:space="0" w:color="auto"/>
        <w:bottom w:val="none" w:sz="0" w:space="0" w:color="auto"/>
        <w:right w:val="none" w:sz="0" w:space="0" w:color="auto"/>
      </w:divBdr>
    </w:div>
    <w:div w:id="1125277362">
      <w:bodyDiv w:val="1"/>
      <w:marLeft w:val="0"/>
      <w:marRight w:val="0"/>
      <w:marTop w:val="0"/>
      <w:marBottom w:val="0"/>
      <w:divBdr>
        <w:top w:val="none" w:sz="0" w:space="0" w:color="auto"/>
        <w:left w:val="none" w:sz="0" w:space="0" w:color="auto"/>
        <w:bottom w:val="none" w:sz="0" w:space="0" w:color="auto"/>
        <w:right w:val="none" w:sz="0" w:space="0" w:color="auto"/>
      </w:divBdr>
    </w:div>
    <w:div w:id="1191408908">
      <w:bodyDiv w:val="1"/>
      <w:marLeft w:val="0"/>
      <w:marRight w:val="0"/>
      <w:marTop w:val="0"/>
      <w:marBottom w:val="0"/>
      <w:divBdr>
        <w:top w:val="none" w:sz="0" w:space="0" w:color="auto"/>
        <w:left w:val="none" w:sz="0" w:space="0" w:color="auto"/>
        <w:bottom w:val="none" w:sz="0" w:space="0" w:color="auto"/>
        <w:right w:val="none" w:sz="0" w:space="0" w:color="auto"/>
      </w:divBdr>
    </w:div>
    <w:div w:id="1366910094">
      <w:bodyDiv w:val="1"/>
      <w:marLeft w:val="0"/>
      <w:marRight w:val="0"/>
      <w:marTop w:val="0"/>
      <w:marBottom w:val="0"/>
      <w:divBdr>
        <w:top w:val="none" w:sz="0" w:space="0" w:color="auto"/>
        <w:left w:val="none" w:sz="0" w:space="0" w:color="auto"/>
        <w:bottom w:val="none" w:sz="0" w:space="0" w:color="auto"/>
        <w:right w:val="none" w:sz="0" w:space="0" w:color="auto"/>
      </w:divBdr>
    </w:div>
    <w:div w:id="1449082390">
      <w:bodyDiv w:val="1"/>
      <w:marLeft w:val="0"/>
      <w:marRight w:val="0"/>
      <w:marTop w:val="0"/>
      <w:marBottom w:val="0"/>
      <w:divBdr>
        <w:top w:val="none" w:sz="0" w:space="0" w:color="auto"/>
        <w:left w:val="none" w:sz="0" w:space="0" w:color="auto"/>
        <w:bottom w:val="none" w:sz="0" w:space="0" w:color="auto"/>
        <w:right w:val="none" w:sz="0" w:space="0" w:color="auto"/>
      </w:divBdr>
    </w:div>
    <w:div w:id="1588035313">
      <w:bodyDiv w:val="1"/>
      <w:marLeft w:val="0"/>
      <w:marRight w:val="0"/>
      <w:marTop w:val="0"/>
      <w:marBottom w:val="0"/>
      <w:divBdr>
        <w:top w:val="none" w:sz="0" w:space="0" w:color="auto"/>
        <w:left w:val="none" w:sz="0" w:space="0" w:color="auto"/>
        <w:bottom w:val="none" w:sz="0" w:space="0" w:color="auto"/>
        <w:right w:val="none" w:sz="0" w:space="0" w:color="auto"/>
      </w:divBdr>
    </w:div>
    <w:div w:id="1593708938">
      <w:bodyDiv w:val="1"/>
      <w:marLeft w:val="0"/>
      <w:marRight w:val="0"/>
      <w:marTop w:val="0"/>
      <w:marBottom w:val="0"/>
      <w:divBdr>
        <w:top w:val="none" w:sz="0" w:space="0" w:color="auto"/>
        <w:left w:val="none" w:sz="0" w:space="0" w:color="auto"/>
        <w:bottom w:val="none" w:sz="0" w:space="0" w:color="auto"/>
        <w:right w:val="none" w:sz="0" w:space="0" w:color="auto"/>
      </w:divBdr>
    </w:div>
    <w:div w:id="1594701677">
      <w:bodyDiv w:val="1"/>
      <w:marLeft w:val="0"/>
      <w:marRight w:val="0"/>
      <w:marTop w:val="0"/>
      <w:marBottom w:val="0"/>
      <w:divBdr>
        <w:top w:val="none" w:sz="0" w:space="0" w:color="auto"/>
        <w:left w:val="none" w:sz="0" w:space="0" w:color="auto"/>
        <w:bottom w:val="none" w:sz="0" w:space="0" w:color="auto"/>
        <w:right w:val="none" w:sz="0" w:space="0" w:color="auto"/>
      </w:divBdr>
    </w:div>
    <w:div w:id="1597640596">
      <w:bodyDiv w:val="1"/>
      <w:marLeft w:val="0"/>
      <w:marRight w:val="0"/>
      <w:marTop w:val="0"/>
      <w:marBottom w:val="0"/>
      <w:divBdr>
        <w:top w:val="none" w:sz="0" w:space="0" w:color="auto"/>
        <w:left w:val="none" w:sz="0" w:space="0" w:color="auto"/>
        <w:bottom w:val="none" w:sz="0" w:space="0" w:color="auto"/>
        <w:right w:val="none" w:sz="0" w:space="0" w:color="auto"/>
      </w:divBdr>
    </w:div>
    <w:div w:id="1676952459">
      <w:bodyDiv w:val="1"/>
      <w:marLeft w:val="0"/>
      <w:marRight w:val="0"/>
      <w:marTop w:val="0"/>
      <w:marBottom w:val="0"/>
      <w:divBdr>
        <w:top w:val="none" w:sz="0" w:space="0" w:color="auto"/>
        <w:left w:val="none" w:sz="0" w:space="0" w:color="auto"/>
        <w:bottom w:val="none" w:sz="0" w:space="0" w:color="auto"/>
        <w:right w:val="none" w:sz="0" w:space="0" w:color="auto"/>
      </w:divBdr>
    </w:div>
    <w:div w:id="1733308681">
      <w:bodyDiv w:val="1"/>
      <w:marLeft w:val="0"/>
      <w:marRight w:val="0"/>
      <w:marTop w:val="0"/>
      <w:marBottom w:val="0"/>
      <w:divBdr>
        <w:top w:val="none" w:sz="0" w:space="0" w:color="auto"/>
        <w:left w:val="none" w:sz="0" w:space="0" w:color="auto"/>
        <w:bottom w:val="none" w:sz="0" w:space="0" w:color="auto"/>
        <w:right w:val="none" w:sz="0" w:space="0" w:color="auto"/>
      </w:divBdr>
    </w:div>
    <w:div w:id="1884250373">
      <w:bodyDiv w:val="1"/>
      <w:marLeft w:val="0"/>
      <w:marRight w:val="0"/>
      <w:marTop w:val="0"/>
      <w:marBottom w:val="0"/>
      <w:divBdr>
        <w:top w:val="none" w:sz="0" w:space="0" w:color="auto"/>
        <w:left w:val="none" w:sz="0" w:space="0" w:color="auto"/>
        <w:bottom w:val="none" w:sz="0" w:space="0" w:color="auto"/>
        <w:right w:val="none" w:sz="0" w:space="0" w:color="auto"/>
      </w:divBdr>
    </w:div>
    <w:div w:id="1962495222">
      <w:bodyDiv w:val="1"/>
      <w:marLeft w:val="0"/>
      <w:marRight w:val="0"/>
      <w:marTop w:val="0"/>
      <w:marBottom w:val="0"/>
      <w:divBdr>
        <w:top w:val="none" w:sz="0" w:space="0" w:color="auto"/>
        <w:left w:val="none" w:sz="0" w:space="0" w:color="auto"/>
        <w:bottom w:val="none" w:sz="0" w:space="0" w:color="auto"/>
        <w:right w:val="none" w:sz="0" w:space="0" w:color="auto"/>
      </w:divBdr>
    </w:div>
    <w:div w:id="1986158282">
      <w:bodyDiv w:val="1"/>
      <w:marLeft w:val="0"/>
      <w:marRight w:val="0"/>
      <w:marTop w:val="0"/>
      <w:marBottom w:val="0"/>
      <w:divBdr>
        <w:top w:val="none" w:sz="0" w:space="0" w:color="auto"/>
        <w:left w:val="none" w:sz="0" w:space="0" w:color="auto"/>
        <w:bottom w:val="none" w:sz="0" w:space="0" w:color="auto"/>
        <w:right w:val="none" w:sz="0" w:space="0" w:color="auto"/>
      </w:divBdr>
    </w:div>
    <w:div w:id="1990942986">
      <w:bodyDiv w:val="1"/>
      <w:marLeft w:val="0"/>
      <w:marRight w:val="0"/>
      <w:marTop w:val="0"/>
      <w:marBottom w:val="0"/>
      <w:divBdr>
        <w:top w:val="none" w:sz="0" w:space="0" w:color="auto"/>
        <w:left w:val="none" w:sz="0" w:space="0" w:color="auto"/>
        <w:bottom w:val="none" w:sz="0" w:space="0" w:color="auto"/>
        <w:right w:val="none" w:sz="0" w:space="0" w:color="auto"/>
      </w:divBdr>
    </w:div>
    <w:div w:id="2039811834">
      <w:bodyDiv w:val="1"/>
      <w:marLeft w:val="0"/>
      <w:marRight w:val="0"/>
      <w:marTop w:val="0"/>
      <w:marBottom w:val="0"/>
      <w:divBdr>
        <w:top w:val="none" w:sz="0" w:space="0" w:color="auto"/>
        <w:left w:val="none" w:sz="0" w:space="0" w:color="auto"/>
        <w:bottom w:val="none" w:sz="0" w:space="0" w:color="auto"/>
        <w:right w:val="none" w:sz="0" w:space="0" w:color="auto"/>
      </w:divBdr>
    </w:div>
    <w:div w:id="2104950807">
      <w:bodyDiv w:val="1"/>
      <w:marLeft w:val="0"/>
      <w:marRight w:val="0"/>
      <w:marTop w:val="0"/>
      <w:marBottom w:val="0"/>
      <w:divBdr>
        <w:top w:val="none" w:sz="0" w:space="0" w:color="auto"/>
        <w:left w:val="none" w:sz="0" w:space="0" w:color="auto"/>
        <w:bottom w:val="none" w:sz="0" w:space="0" w:color="auto"/>
        <w:right w:val="none" w:sz="0" w:space="0" w:color="auto"/>
      </w:divBdr>
    </w:div>
    <w:div w:id="2124305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secretariasenado.gov.co/senado/basedoc/ley_0599_2000_pr003.html" TargetMode="External"/><Relationship Id="rId3" Type="http://schemas.openxmlformats.org/officeDocument/2006/relationships/numbering" Target="numbering.xml"/><Relationship Id="rId21" Type="http://schemas.openxmlformats.org/officeDocument/2006/relationships/hyperlink" Target="http://www.secretariasenado.gov.co/senado/basedoc/ley_1257_2008.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secretariasenado.gov.co/senado/basedoc/ley_1761_2015.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ecretariasenado.gov.co/senado/basedoc/ley_1761_2015.html" TargetMode="External"/><Relationship Id="rId20" Type="http://schemas.openxmlformats.org/officeDocument/2006/relationships/hyperlink" Target="http://www.secretariasenado.gov.co/senado/basedoc/ley_1146_2007.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secretariasenado.gov.co/senado/basedoc/ley_0264_1996.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datos.gov.co/Justicia-y-Derecho/Conteo-de-V-ctimas/sft7-9im5" TargetMode="External"/><Relationship Id="rId3" Type="http://schemas.openxmlformats.org/officeDocument/2006/relationships/hyperlink" Target="https://oig.cepal.org/es" TargetMode="External"/><Relationship Id="rId7" Type="http://schemas.openxmlformats.org/officeDocument/2006/relationships/hyperlink" Target="https://www.medicinalegal.gov.co/documents/20143/40696/Reglamento+T%C3%A9cnico+para+el+Abordaje+Forense+Integral+de+la+Violencia+de+Pareja+C%C3%B3digo.DG-M-RT+03%2C+vesi%C3%B3n+02-dic-2011..pdf/2c1f0e21-6226-59f8-aa9d-fdcd56eb1b0a" TargetMode="External"/><Relationship Id="rId2" Type="http://schemas.openxmlformats.org/officeDocument/2006/relationships/hyperlink" Target="https://www.newtral.es/violencia-vicaria-violencia-de-genero-sentencias/20210616/" TargetMode="External"/><Relationship Id="rId1" Type="http://schemas.openxmlformats.org/officeDocument/2006/relationships/hyperlink" Target="https://www.ucm.es/otri/noticias-violencia-vicaria-ucm" TargetMode="External"/><Relationship Id="rId6" Type="http://schemas.openxmlformats.org/officeDocument/2006/relationships/hyperlink" Target="https://www.eltiempo.com/archivo/documento/MAM-1280681" TargetMode="External"/><Relationship Id="rId11" Type="http://schemas.openxmlformats.org/officeDocument/2006/relationships/hyperlink" Target="https://observatoriofeminicidioscolombia.org/index.php/seguimiento/boletin-nacional" TargetMode="External"/><Relationship Id="rId5" Type="http://schemas.openxmlformats.org/officeDocument/2006/relationships/hyperlink" Target="https://cambiocolombia.com/articulo/pais/que-es-la-violencia-vicaria-y-por-que-se-relaciona-con-el-caso-del-pequeno-gabriel" TargetMode="External"/><Relationship Id="rId10" Type="http://schemas.openxmlformats.org/officeDocument/2006/relationships/hyperlink" Target="https://repository.urosario.edu.co/server/api/core/bitstreams/8612776e-074a-4695-b4f0-6ad789ffb3c0/content" TargetMode="External"/><Relationship Id="rId4" Type="http://schemas.openxmlformats.org/officeDocument/2006/relationships/hyperlink" Target="https://www.elheraldo.co/colombia/gabriel-esteban-cubillos-nino-de-5-anos-asesinado-por-su-papa-habla-madre-del-menor-943555" TargetMode="External"/><Relationship Id="rId9" Type="http://schemas.openxmlformats.org/officeDocument/2006/relationships/hyperlink" Target="https://www.datos.gov.co/Justicia-y-Derecho/Conteo-de-Procesos/q6re-36r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EjLAKmoYoAg/sHUMxaDIf8FGyA==">AMUW2mXad26jzNL1AcpVZ1n9PC1Nf20uRoDVrDzSWDrCCcNJZmCM4rJ+IiBN1ETkCAr/YGvoMJxXfZwABPTOIF8uuqW6WgdIgttMPXKGjQeUPrGgYntFrkDVe/O4r5n1nlJdAg9CdSJNSfF4UeDF1d+Ic1WsZLCx1HgqjI5SNeX6BD4GnIyFoTQ=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825A24-083A-4008-86CA-9F0630D8B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27</Pages>
  <Words>10834</Words>
  <Characters>59591</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Gabriel Riveros</dc:creator>
  <cp:keywords/>
  <dc:description/>
  <cp:lastModifiedBy>Juliana Macias Barreto</cp:lastModifiedBy>
  <cp:revision>6</cp:revision>
  <cp:lastPrinted>2023-09-06T19:47:00Z</cp:lastPrinted>
  <dcterms:created xsi:type="dcterms:W3CDTF">2023-09-06T18:21:00Z</dcterms:created>
  <dcterms:modified xsi:type="dcterms:W3CDTF">2023-09-06T19:49:00Z</dcterms:modified>
</cp:coreProperties>
</file>